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D85B3" w14:textId="77777777" w:rsidR="00734A7D" w:rsidRPr="00A839B2" w:rsidRDefault="00734A7D" w:rsidP="00734A7D">
      <w:pPr>
        <w:spacing w:line="480" w:lineRule="auto"/>
        <w:rPr>
          <w:rFonts w:ascii="Times New Roman" w:eastAsiaTheme="majorEastAsia" w:hAnsi="Times New Roman" w:cs="Times New Roman"/>
          <w:b/>
          <w:bCs/>
          <w:sz w:val="24"/>
          <w:szCs w:val="24"/>
        </w:rPr>
      </w:pPr>
      <w:bookmarkStart w:id="0" w:name="_Hlk65066209"/>
      <w:bookmarkStart w:id="1" w:name="_GoBack"/>
      <w:bookmarkEnd w:id="0"/>
      <w:bookmarkEnd w:id="1"/>
      <w:r w:rsidRPr="00A839B2">
        <w:rPr>
          <w:rFonts w:ascii="Times New Roman" w:eastAsiaTheme="majorEastAsia" w:hAnsi="Times New Roman" w:cs="Times New Roman"/>
          <w:b/>
          <w:bCs/>
          <w:sz w:val="24"/>
          <w:szCs w:val="24"/>
        </w:rPr>
        <w:t xml:space="preserve">Title: </w:t>
      </w:r>
    </w:p>
    <w:p w14:paraId="2ECF1E03" w14:textId="77777777" w:rsidR="00734A7D" w:rsidRPr="00A839B2" w:rsidRDefault="00734A7D" w:rsidP="00734A7D">
      <w:pPr>
        <w:spacing w:line="480" w:lineRule="auto"/>
        <w:rPr>
          <w:rFonts w:ascii="Times New Roman" w:eastAsiaTheme="majorEastAsia" w:hAnsi="Times New Roman" w:cs="Times New Roman"/>
          <w:sz w:val="24"/>
          <w:szCs w:val="24"/>
        </w:rPr>
      </w:pPr>
      <w:bookmarkStart w:id="2" w:name="_Hlk63418554"/>
      <w:r w:rsidRPr="00A839B2">
        <w:rPr>
          <w:rFonts w:ascii="Times New Roman" w:eastAsiaTheme="majorEastAsia" w:hAnsi="Times New Roman" w:cs="Times New Roman"/>
          <w:sz w:val="24"/>
          <w:szCs w:val="24"/>
        </w:rPr>
        <w:t>Unique regional patterns of amyloid burden predict progression to prodromal and clinical stages of Alzheimer’s disease</w:t>
      </w:r>
    </w:p>
    <w:bookmarkEnd w:id="2"/>
    <w:p w14:paraId="5ABF27D7" w14:textId="77777777" w:rsidR="00734A7D" w:rsidRPr="00A839B2" w:rsidRDefault="00734A7D" w:rsidP="00734A7D">
      <w:pPr>
        <w:spacing w:line="480" w:lineRule="auto"/>
        <w:rPr>
          <w:rFonts w:ascii="Times New Roman" w:eastAsiaTheme="majorEastAsia" w:hAnsi="Times New Roman" w:cs="Times New Roman"/>
          <w:b/>
          <w:bCs/>
          <w:sz w:val="24"/>
          <w:szCs w:val="24"/>
        </w:rPr>
      </w:pPr>
    </w:p>
    <w:p w14:paraId="72683945" w14:textId="77777777" w:rsidR="00734A7D" w:rsidRPr="00A839B2" w:rsidRDefault="00734A7D" w:rsidP="00734A7D">
      <w:pPr>
        <w:spacing w:line="480" w:lineRule="auto"/>
        <w:rPr>
          <w:rFonts w:ascii="Times New Roman" w:eastAsiaTheme="majorEastAsia" w:hAnsi="Times New Roman" w:cs="Times New Roman"/>
          <w:b/>
          <w:bCs/>
          <w:sz w:val="24"/>
          <w:szCs w:val="24"/>
        </w:rPr>
      </w:pPr>
      <w:r w:rsidRPr="00A839B2">
        <w:rPr>
          <w:rFonts w:ascii="Times New Roman" w:eastAsiaTheme="majorEastAsia" w:hAnsi="Times New Roman" w:cs="Times New Roman"/>
          <w:b/>
          <w:bCs/>
          <w:sz w:val="24"/>
          <w:szCs w:val="24"/>
        </w:rPr>
        <w:t xml:space="preserve">Authors: </w:t>
      </w:r>
    </w:p>
    <w:p w14:paraId="236A07ED" w14:textId="77777777" w:rsidR="00734A7D" w:rsidRPr="00A839B2" w:rsidRDefault="00734A7D" w:rsidP="00734A7D">
      <w:pPr>
        <w:spacing w:line="480" w:lineRule="auto"/>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rPr>
        <w:t>Julia Pfeil</w:t>
      </w:r>
      <w:r w:rsidRPr="00A839B2">
        <w:rPr>
          <w:rFonts w:ascii="Times New Roman" w:eastAsiaTheme="majorEastAsia" w:hAnsi="Times New Roman" w:cs="Times New Roman"/>
          <w:sz w:val="24"/>
          <w:szCs w:val="24"/>
          <w:vertAlign w:val="superscript"/>
        </w:rPr>
        <w:t>a*</w:t>
      </w:r>
      <w:r w:rsidRPr="00A839B2">
        <w:rPr>
          <w:rFonts w:ascii="Times New Roman" w:eastAsiaTheme="majorEastAsia" w:hAnsi="Times New Roman" w:cs="Times New Roman"/>
          <w:sz w:val="24"/>
          <w:szCs w:val="24"/>
        </w:rPr>
        <w:t>, Merle C. Hoenig</w:t>
      </w:r>
      <w:r w:rsidRPr="00A839B2">
        <w:rPr>
          <w:rFonts w:ascii="Times New Roman" w:eastAsiaTheme="majorEastAsia" w:hAnsi="Times New Roman" w:cs="Times New Roman"/>
          <w:sz w:val="24"/>
          <w:szCs w:val="24"/>
          <w:vertAlign w:val="superscript"/>
        </w:rPr>
        <w:t>a,b</w:t>
      </w:r>
      <w:r w:rsidRPr="00A839B2">
        <w:rPr>
          <w:rFonts w:ascii="Times New Roman" w:eastAsiaTheme="majorEastAsia" w:hAnsi="Times New Roman" w:cs="Times New Roman"/>
          <w:sz w:val="24"/>
          <w:szCs w:val="24"/>
        </w:rPr>
        <w:t>, Elena Doering</w:t>
      </w:r>
      <w:r w:rsidRPr="00A839B2">
        <w:rPr>
          <w:rFonts w:ascii="Times New Roman" w:eastAsiaTheme="majorEastAsia" w:hAnsi="Times New Roman" w:cs="Times New Roman"/>
          <w:sz w:val="24"/>
          <w:szCs w:val="24"/>
          <w:vertAlign w:val="superscript"/>
        </w:rPr>
        <w:t>a,c</w:t>
      </w:r>
      <w:r w:rsidRPr="00A839B2">
        <w:rPr>
          <w:rFonts w:ascii="Times New Roman" w:eastAsiaTheme="majorEastAsia" w:hAnsi="Times New Roman" w:cs="Times New Roman"/>
          <w:sz w:val="24"/>
          <w:szCs w:val="24"/>
        </w:rPr>
        <w:t>, Thilo van Eimeren</w:t>
      </w:r>
      <w:r w:rsidRPr="00A839B2">
        <w:rPr>
          <w:rFonts w:ascii="Times New Roman" w:eastAsiaTheme="majorEastAsia" w:hAnsi="Times New Roman" w:cs="Times New Roman"/>
          <w:sz w:val="24"/>
          <w:szCs w:val="24"/>
          <w:vertAlign w:val="superscript"/>
        </w:rPr>
        <w:t>a,c,d</w:t>
      </w:r>
      <w:r w:rsidRPr="00A839B2">
        <w:rPr>
          <w:rFonts w:ascii="Times New Roman" w:eastAsiaTheme="majorEastAsia" w:hAnsi="Times New Roman" w:cs="Times New Roman"/>
          <w:sz w:val="24"/>
          <w:szCs w:val="24"/>
        </w:rPr>
        <w:t>, Alexander Drzezga</w:t>
      </w:r>
      <w:r w:rsidRPr="00A839B2">
        <w:rPr>
          <w:rFonts w:ascii="Times New Roman" w:eastAsiaTheme="majorEastAsia" w:hAnsi="Times New Roman" w:cs="Times New Roman"/>
          <w:sz w:val="24"/>
          <w:szCs w:val="24"/>
          <w:vertAlign w:val="superscript"/>
        </w:rPr>
        <w:t>a,b,c</w:t>
      </w:r>
      <w:r w:rsidRPr="00A839B2">
        <w:rPr>
          <w:rFonts w:ascii="Times New Roman" w:eastAsiaTheme="majorEastAsia" w:hAnsi="Times New Roman" w:cs="Times New Roman"/>
          <w:sz w:val="24"/>
          <w:szCs w:val="24"/>
        </w:rPr>
        <w:t>, Gérard N. Bischof</w:t>
      </w:r>
      <w:r w:rsidRPr="00A839B2">
        <w:rPr>
          <w:rFonts w:ascii="Times New Roman" w:eastAsiaTheme="majorEastAsia" w:hAnsi="Times New Roman" w:cs="Times New Roman"/>
          <w:sz w:val="24"/>
          <w:szCs w:val="24"/>
          <w:vertAlign w:val="superscript"/>
        </w:rPr>
        <w:t>a</w:t>
      </w:r>
      <w:r w:rsidRPr="00A839B2">
        <w:rPr>
          <w:rFonts w:ascii="Times New Roman" w:eastAsiaTheme="majorEastAsia" w:hAnsi="Times New Roman" w:cs="Times New Roman"/>
          <w:sz w:val="24"/>
          <w:szCs w:val="24"/>
        </w:rPr>
        <w:t>, and for the Alzheimer’s Disease Neuroimaging Initiative</w:t>
      </w:r>
    </w:p>
    <w:p w14:paraId="35BECC51" w14:textId="77777777" w:rsidR="00734A7D" w:rsidRPr="00A839B2" w:rsidRDefault="00734A7D" w:rsidP="00734A7D">
      <w:pPr>
        <w:spacing w:line="480" w:lineRule="auto"/>
        <w:rPr>
          <w:rFonts w:ascii="Times New Roman" w:eastAsiaTheme="majorEastAsia" w:hAnsi="Times New Roman" w:cs="Times New Roman"/>
          <w:sz w:val="24"/>
          <w:szCs w:val="24"/>
        </w:rPr>
      </w:pPr>
    </w:p>
    <w:p w14:paraId="73B10242" w14:textId="77777777" w:rsidR="00734A7D" w:rsidRPr="00A839B2" w:rsidRDefault="00734A7D" w:rsidP="00734A7D">
      <w:pPr>
        <w:spacing w:line="480" w:lineRule="auto"/>
        <w:rPr>
          <w:rFonts w:ascii="Times New Roman" w:eastAsiaTheme="majorEastAsia" w:hAnsi="Times New Roman" w:cs="Times New Roman"/>
          <w:b/>
          <w:bCs/>
          <w:sz w:val="24"/>
          <w:szCs w:val="24"/>
        </w:rPr>
      </w:pPr>
      <w:r w:rsidRPr="00A839B2">
        <w:rPr>
          <w:rFonts w:ascii="Times New Roman" w:eastAsiaTheme="majorEastAsia" w:hAnsi="Times New Roman" w:cs="Times New Roman"/>
          <w:b/>
          <w:bCs/>
          <w:sz w:val="24"/>
          <w:szCs w:val="24"/>
        </w:rPr>
        <w:t>Affiliations:</w:t>
      </w:r>
    </w:p>
    <w:p w14:paraId="68B09F13" w14:textId="77777777" w:rsidR="00734A7D" w:rsidRPr="00A839B2" w:rsidRDefault="00734A7D" w:rsidP="00734A7D">
      <w:pPr>
        <w:spacing w:after="0" w:line="480" w:lineRule="auto"/>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vertAlign w:val="superscript"/>
        </w:rPr>
        <w:t xml:space="preserve">a </w:t>
      </w:r>
      <w:r w:rsidRPr="00A839B2">
        <w:rPr>
          <w:rFonts w:ascii="Times New Roman" w:eastAsiaTheme="majorEastAsia" w:hAnsi="Times New Roman" w:cs="Times New Roman"/>
          <w:sz w:val="24"/>
          <w:szCs w:val="24"/>
        </w:rPr>
        <w:t xml:space="preserve">University of Cologne, University Hospital of Cologne, Department of Nuclear Medicine, </w:t>
      </w:r>
    </w:p>
    <w:p w14:paraId="5AD39AE8" w14:textId="77777777" w:rsidR="00734A7D" w:rsidRPr="00A839B2" w:rsidRDefault="00734A7D" w:rsidP="00734A7D">
      <w:pPr>
        <w:spacing w:after="0" w:line="480" w:lineRule="auto"/>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rPr>
        <w:t xml:space="preserve">  Multimodal Neuroimaging Group, Cologne, Germany</w:t>
      </w:r>
    </w:p>
    <w:p w14:paraId="02EA8B8E" w14:textId="77777777" w:rsidR="00734A7D" w:rsidRPr="00A839B2" w:rsidRDefault="00734A7D" w:rsidP="00734A7D">
      <w:pPr>
        <w:spacing w:after="0" w:line="480" w:lineRule="auto"/>
        <w:jc w:val="both"/>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vertAlign w:val="superscript"/>
        </w:rPr>
        <w:t xml:space="preserve">b </w:t>
      </w:r>
      <w:r w:rsidRPr="00A839B2">
        <w:rPr>
          <w:rFonts w:ascii="Times New Roman" w:eastAsiaTheme="majorEastAsia" w:hAnsi="Times New Roman" w:cs="Times New Roman"/>
          <w:sz w:val="24"/>
          <w:szCs w:val="24"/>
        </w:rPr>
        <w:t xml:space="preserve">Research Center Juelich, Institute for Neuroscience and Medicine II, Molecular Organization </w:t>
      </w:r>
    </w:p>
    <w:p w14:paraId="7AF86ED2" w14:textId="77777777" w:rsidR="00734A7D" w:rsidRPr="00A839B2" w:rsidRDefault="00734A7D" w:rsidP="00734A7D">
      <w:pPr>
        <w:spacing w:after="0" w:line="480" w:lineRule="auto"/>
        <w:jc w:val="both"/>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rPr>
        <w:t xml:space="preserve">  of the Brain, Juelich, Germany</w:t>
      </w:r>
    </w:p>
    <w:p w14:paraId="27C05CE3" w14:textId="77777777" w:rsidR="00734A7D" w:rsidRPr="00A839B2" w:rsidRDefault="00734A7D" w:rsidP="00734A7D">
      <w:pPr>
        <w:spacing w:after="0" w:line="480" w:lineRule="auto"/>
        <w:jc w:val="both"/>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vertAlign w:val="superscript"/>
        </w:rPr>
        <w:t xml:space="preserve">c </w:t>
      </w:r>
      <w:r w:rsidRPr="00A839B2">
        <w:rPr>
          <w:rFonts w:ascii="Times New Roman" w:eastAsiaTheme="majorEastAsia" w:hAnsi="Times New Roman" w:cs="Times New Roman"/>
          <w:sz w:val="24"/>
          <w:szCs w:val="24"/>
        </w:rPr>
        <w:t>German Center for Neurodegenerative Diseases, Bonn/Cologne, Germany</w:t>
      </w:r>
    </w:p>
    <w:p w14:paraId="19B83EEB" w14:textId="77777777" w:rsidR="00734A7D" w:rsidRPr="00A839B2" w:rsidRDefault="00734A7D" w:rsidP="00734A7D">
      <w:pPr>
        <w:spacing w:after="0" w:line="480" w:lineRule="auto"/>
        <w:jc w:val="both"/>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vertAlign w:val="superscript"/>
        </w:rPr>
        <w:t>d</w:t>
      </w:r>
      <w:r w:rsidRPr="00A839B2">
        <w:rPr>
          <w:rFonts w:ascii="Times New Roman" w:eastAsiaTheme="majorEastAsia" w:hAnsi="Times New Roman" w:cs="Times New Roman"/>
          <w:sz w:val="24"/>
          <w:szCs w:val="24"/>
        </w:rPr>
        <w:t xml:space="preserve"> University of Cologne, University Hospital of Cologne, Department of Neurology, Cologne, </w:t>
      </w:r>
    </w:p>
    <w:p w14:paraId="4C5277AA" w14:textId="77777777" w:rsidR="00734A7D" w:rsidRPr="00A839B2" w:rsidRDefault="00734A7D" w:rsidP="00734A7D">
      <w:pPr>
        <w:spacing w:after="0" w:line="480" w:lineRule="auto"/>
        <w:jc w:val="both"/>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rPr>
        <w:t xml:space="preserve">  Germany</w:t>
      </w:r>
    </w:p>
    <w:p w14:paraId="12C59ABD" w14:textId="77777777" w:rsidR="00734A7D" w:rsidRPr="00A839B2" w:rsidRDefault="00734A7D" w:rsidP="00734A7D">
      <w:pPr>
        <w:spacing w:after="0" w:line="480" w:lineRule="auto"/>
        <w:jc w:val="both"/>
        <w:rPr>
          <w:rFonts w:ascii="Times New Roman" w:eastAsiaTheme="majorEastAsia" w:hAnsi="Times New Roman" w:cs="Times New Roman"/>
          <w:sz w:val="24"/>
          <w:szCs w:val="24"/>
        </w:rPr>
      </w:pPr>
    </w:p>
    <w:p w14:paraId="41CE004E" w14:textId="77777777" w:rsidR="00734A7D" w:rsidRPr="00A839B2" w:rsidRDefault="00734A7D" w:rsidP="00734A7D">
      <w:pPr>
        <w:spacing w:after="0" w:line="480" w:lineRule="auto"/>
        <w:jc w:val="both"/>
        <w:rPr>
          <w:rFonts w:ascii="Times New Roman" w:eastAsiaTheme="majorEastAsia" w:hAnsi="Times New Roman" w:cs="Times New Roman"/>
          <w:b/>
          <w:bCs/>
          <w:sz w:val="24"/>
          <w:szCs w:val="24"/>
        </w:rPr>
      </w:pPr>
      <w:r w:rsidRPr="00A839B2">
        <w:rPr>
          <w:rFonts w:ascii="Times New Roman" w:eastAsiaTheme="majorEastAsia" w:hAnsi="Times New Roman" w:cs="Times New Roman"/>
          <w:b/>
          <w:bCs/>
          <w:sz w:val="24"/>
          <w:szCs w:val="24"/>
        </w:rPr>
        <w:t xml:space="preserve">*Corresponding Author: </w:t>
      </w:r>
    </w:p>
    <w:p w14:paraId="16EE7A4B" w14:textId="77777777" w:rsidR="00734A7D" w:rsidRPr="00A839B2" w:rsidRDefault="00734A7D" w:rsidP="00734A7D">
      <w:pPr>
        <w:spacing w:after="0" w:line="480" w:lineRule="auto"/>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rPr>
        <w:t>Julia Pfeil, University of Cologne, University Hospital of Cologne, Department of Nuclear Medicine, Multimodal Neuroimaging Group, Kerpenerstraße 62, 50931 Cologne, Germany</w:t>
      </w:r>
    </w:p>
    <w:p w14:paraId="55D64D70" w14:textId="77777777" w:rsidR="00734A7D" w:rsidRPr="00A839B2" w:rsidRDefault="00734A7D" w:rsidP="00734A7D">
      <w:pPr>
        <w:spacing w:after="0" w:line="480" w:lineRule="auto"/>
        <w:rPr>
          <w:rFonts w:ascii="Times New Roman" w:eastAsiaTheme="majorEastAsia" w:hAnsi="Times New Roman" w:cs="Times New Roman"/>
          <w:sz w:val="24"/>
          <w:szCs w:val="24"/>
        </w:rPr>
      </w:pPr>
      <w:r w:rsidRPr="00A839B2">
        <w:rPr>
          <w:rFonts w:ascii="Times New Roman" w:eastAsiaTheme="majorEastAsia" w:hAnsi="Times New Roman" w:cs="Times New Roman"/>
          <w:sz w:val="24"/>
          <w:szCs w:val="24"/>
        </w:rPr>
        <w:t>E-mail: julia.pfeil@uk-koeln.de; phone: +49 221 478 7503</w:t>
      </w:r>
    </w:p>
    <w:p w14:paraId="19659263" w14:textId="7AFE1BCF" w:rsidR="00734A7D" w:rsidRDefault="00734A7D" w:rsidP="00734A7D"/>
    <w:p w14:paraId="017DC5F2" w14:textId="07011913" w:rsidR="00734A7D" w:rsidRDefault="00734A7D" w:rsidP="00734A7D"/>
    <w:p w14:paraId="502B8F3F" w14:textId="77777777" w:rsidR="00734A7D" w:rsidRDefault="00734A7D" w:rsidP="00734A7D"/>
    <w:p w14:paraId="033709F6" w14:textId="29DB0F0A" w:rsidR="00712006" w:rsidRPr="00734A7D" w:rsidRDefault="00734A7D" w:rsidP="001C5196">
      <w:pPr>
        <w:spacing w:after="0" w:line="480" w:lineRule="auto"/>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Ab</w:t>
      </w:r>
      <w:r w:rsidR="00712006" w:rsidRPr="00734A7D">
        <w:rPr>
          <w:rFonts w:ascii="Times New Roman" w:eastAsiaTheme="majorEastAsia" w:hAnsi="Times New Roman" w:cs="Times New Roman"/>
          <w:b/>
          <w:bCs/>
          <w:sz w:val="24"/>
          <w:szCs w:val="24"/>
        </w:rPr>
        <w:t>stract</w:t>
      </w:r>
    </w:p>
    <w:p w14:paraId="3D0EDFB2" w14:textId="2800CEDC" w:rsidR="0093626D" w:rsidRPr="00734A7D" w:rsidRDefault="0093626D" w:rsidP="001C5196">
      <w:pPr>
        <w:spacing w:after="0" w:line="480" w:lineRule="auto"/>
        <w:ind w:firstLine="708"/>
        <w:rPr>
          <w:rFonts w:ascii="Times New Roman" w:hAnsi="Times New Roman" w:cs="Times New Roman"/>
          <w:sz w:val="24"/>
          <w:szCs w:val="24"/>
        </w:rPr>
      </w:pPr>
      <w:r w:rsidRPr="00734A7D">
        <w:rPr>
          <w:rFonts w:ascii="Times New Roman" w:hAnsi="Times New Roman" w:cs="Times New Roman"/>
          <w:sz w:val="24"/>
          <w:szCs w:val="24"/>
        </w:rPr>
        <w:t>Although beta-amyloid (A</w:t>
      </w:r>
      <w:r w:rsidRPr="00734A7D">
        <w:rPr>
          <w:rFonts w:ascii="Times New Roman" w:hAnsi="Times New Roman" w:cs="Times New Roman"/>
          <w:sz w:val="24"/>
          <w:szCs w:val="24"/>
          <w:lang w:val="de-DE"/>
        </w:rPr>
        <w:t>β</w:t>
      </w:r>
      <w:r w:rsidRPr="00734A7D">
        <w:rPr>
          <w:rFonts w:ascii="Times New Roman" w:hAnsi="Times New Roman" w:cs="Times New Roman"/>
          <w:sz w:val="24"/>
          <w:szCs w:val="24"/>
        </w:rPr>
        <w:t>) positivity has shown to be associated with higher risk of progression to Alzheimer’s disease (AD) in mild cognitive impairment (MCI), information on the time to conversion</w:t>
      </w:r>
      <w:r w:rsidR="00604F17" w:rsidRPr="00734A7D">
        <w:rPr>
          <w:rFonts w:ascii="Times New Roman" w:hAnsi="Times New Roman" w:cs="Times New Roman"/>
          <w:sz w:val="24"/>
          <w:szCs w:val="24"/>
        </w:rPr>
        <w:t xml:space="preserve"> to manifest dementia cannot be readily</w:t>
      </w:r>
      <w:r w:rsidRPr="00734A7D">
        <w:rPr>
          <w:rFonts w:ascii="Times New Roman" w:hAnsi="Times New Roman" w:cs="Times New Roman"/>
          <w:sz w:val="24"/>
          <w:szCs w:val="24"/>
        </w:rPr>
        <w:t xml:space="preserve"> deduced from this binary classification. Here</w:t>
      </w:r>
      <w:r w:rsidR="001C5196" w:rsidRPr="00734A7D">
        <w:rPr>
          <w:rFonts w:ascii="Times New Roman" w:hAnsi="Times New Roman" w:cs="Times New Roman"/>
          <w:sz w:val="24"/>
          <w:szCs w:val="24"/>
        </w:rPr>
        <w:t>,</w:t>
      </w:r>
      <w:r w:rsidRPr="00734A7D">
        <w:rPr>
          <w:rFonts w:ascii="Times New Roman" w:hAnsi="Times New Roman" w:cs="Times New Roman"/>
          <w:sz w:val="24"/>
          <w:szCs w:val="24"/>
        </w:rPr>
        <w:t xml:space="preserve"> we assessed if regional patterns of A</w:t>
      </w:r>
      <w:r w:rsidRPr="00734A7D">
        <w:rPr>
          <w:rFonts w:ascii="Times New Roman" w:hAnsi="Times New Roman" w:cs="Times New Roman"/>
          <w:sz w:val="24"/>
          <w:szCs w:val="24"/>
          <w:lang w:val="de-DE"/>
        </w:rPr>
        <w:t>β</w:t>
      </w:r>
      <w:r w:rsidRPr="00734A7D">
        <w:rPr>
          <w:rFonts w:ascii="Times New Roman" w:hAnsi="Times New Roman" w:cs="Times New Roman"/>
          <w:sz w:val="24"/>
          <w:szCs w:val="24"/>
        </w:rPr>
        <w:t xml:space="preserve"> deposition measured with </w:t>
      </w:r>
      <w:r w:rsidRPr="00734A7D">
        <w:rPr>
          <w:rFonts w:ascii="Times New Roman" w:hAnsi="Times New Roman" w:cs="Times New Roman"/>
          <w:sz w:val="24"/>
          <w:szCs w:val="24"/>
          <w:vertAlign w:val="superscript"/>
        </w:rPr>
        <w:t>18</w:t>
      </w:r>
      <w:r w:rsidR="005021B5" w:rsidRPr="00734A7D">
        <w:rPr>
          <w:rFonts w:ascii="Times New Roman" w:hAnsi="Times New Roman" w:cs="Times New Roman"/>
          <w:sz w:val="24"/>
          <w:szCs w:val="24"/>
        </w:rPr>
        <w:t>F-florbetapir may serve as</w:t>
      </w:r>
      <w:r w:rsidRPr="00734A7D">
        <w:rPr>
          <w:rFonts w:ascii="Times New Roman" w:hAnsi="Times New Roman" w:cs="Times New Roman"/>
          <w:sz w:val="24"/>
          <w:szCs w:val="24"/>
        </w:rPr>
        <w:t xml:space="preserve"> biomarker for progression risk in A</w:t>
      </w:r>
      <w:r w:rsidRPr="00734A7D">
        <w:rPr>
          <w:rFonts w:ascii="Times New Roman" w:hAnsi="Times New Roman" w:cs="Times New Roman"/>
          <w:sz w:val="24"/>
          <w:szCs w:val="24"/>
          <w:lang w:val="de-DE"/>
        </w:rPr>
        <w:t>β</w:t>
      </w:r>
      <w:r w:rsidR="001C5196" w:rsidRPr="00734A7D">
        <w:rPr>
          <w:rFonts w:ascii="Times New Roman" w:hAnsi="Times New Roman" w:cs="Times New Roman"/>
          <w:sz w:val="24"/>
          <w:szCs w:val="24"/>
        </w:rPr>
        <w:t>-</w:t>
      </w:r>
      <w:r w:rsidRPr="00734A7D">
        <w:rPr>
          <w:rFonts w:ascii="Times New Roman" w:hAnsi="Times New Roman" w:cs="Times New Roman"/>
          <w:sz w:val="24"/>
          <w:szCs w:val="24"/>
        </w:rPr>
        <w:t>positive cognitively normal (CN) and MCI patients, including clinical follow-up d</w:t>
      </w:r>
      <w:r w:rsidR="009547D3" w:rsidRPr="00734A7D">
        <w:rPr>
          <w:rFonts w:ascii="Times New Roman" w:hAnsi="Times New Roman" w:cs="Times New Roman"/>
          <w:sz w:val="24"/>
          <w:szCs w:val="24"/>
        </w:rPr>
        <w:t xml:space="preserve">ata and </w:t>
      </w:r>
      <w:r w:rsidR="002D1E41" w:rsidRPr="00734A7D">
        <w:rPr>
          <w:rFonts w:ascii="Times New Roman" w:hAnsi="Times New Roman" w:cs="Times New Roman"/>
          <w:sz w:val="24"/>
          <w:szCs w:val="24"/>
        </w:rPr>
        <w:t>cerebrospinal fluid</w:t>
      </w:r>
      <w:r w:rsidRPr="00734A7D">
        <w:rPr>
          <w:rFonts w:ascii="Times New Roman" w:hAnsi="Times New Roman" w:cs="Times New Roman"/>
          <w:sz w:val="24"/>
          <w:szCs w:val="24"/>
        </w:rPr>
        <w:t xml:space="preserve"> (CSF) biomarker</w:t>
      </w:r>
      <w:r w:rsidR="001C5196" w:rsidRPr="00734A7D">
        <w:rPr>
          <w:rFonts w:ascii="Times New Roman" w:hAnsi="Times New Roman" w:cs="Times New Roman"/>
          <w:sz w:val="24"/>
          <w:szCs w:val="24"/>
        </w:rPr>
        <w:t>s</w:t>
      </w:r>
      <w:r w:rsidRPr="00734A7D">
        <w:rPr>
          <w:rFonts w:ascii="Times New Roman" w:hAnsi="Times New Roman" w:cs="Times New Roman"/>
          <w:sz w:val="24"/>
          <w:szCs w:val="24"/>
        </w:rPr>
        <w:t>. Voxel-wise group comparisons between age</w:t>
      </w:r>
      <w:r w:rsidR="009547D3" w:rsidRPr="00734A7D">
        <w:rPr>
          <w:rFonts w:ascii="Times New Roman" w:hAnsi="Times New Roman" w:cs="Times New Roman"/>
          <w:sz w:val="24"/>
          <w:szCs w:val="24"/>
        </w:rPr>
        <w:t xml:space="preserve"> and sex</w:t>
      </w:r>
      <w:r w:rsidRPr="00734A7D">
        <w:rPr>
          <w:rFonts w:ascii="Times New Roman" w:hAnsi="Times New Roman" w:cs="Times New Roman"/>
          <w:sz w:val="24"/>
          <w:szCs w:val="24"/>
        </w:rPr>
        <w:t>-matched A</w:t>
      </w:r>
      <w:r w:rsidRPr="00734A7D">
        <w:rPr>
          <w:rFonts w:ascii="Times New Roman" w:hAnsi="Times New Roman" w:cs="Times New Roman"/>
          <w:sz w:val="24"/>
          <w:szCs w:val="24"/>
          <w:lang w:val="de-DE"/>
        </w:rPr>
        <w:t>β</w:t>
      </w:r>
      <w:r w:rsidRPr="00734A7D">
        <w:rPr>
          <w:rFonts w:ascii="Times New Roman" w:hAnsi="Times New Roman" w:cs="Times New Roman"/>
          <w:sz w:val="24"/>
          <w:szCs w:val="24"/>
        </w:rPr>
        <w:t>-positive groups (i.e., CN-stables (n=38) vs. CN-to-MCI/AD progressors (n=38), MC</w:t>
      </w:r>
      <w:r w:rsidR="001C5196" w:rsidRPr="00734A7D">
        <w:rPr>
          <w:rFonts w:ascii="Times New Roman" w:hAnsi="Times New Roman" w:cs="Times New Roman"/>
          <w:sz w:val="24"/>
          <w:szCs w:val="24"/>
        </w:rPr>
        <w:t xml:space="preserve">I-stables (n=104) vs. MCI-to-AD </w:t>
      </w:r>
      <w:r w:rsidRPr="00734A7D">
        <w:rPr>
          <w:rFonts w:ascii="Times New Roman" w:hAnsi="Times New Roman" w:cs="Times New Roman"/>
          <w:sz w:val="24"/>
          <w:szCs w:val="24"/>
        </w:rPr>
        <w:t xml:space="preserve">progressors (n=104)) revealed higher </w:t>
      </w:r>
      <w:r w:rsidR="00111E36" w:rsidRPr="00734A7D">
        <w:rPr>
          <w:rFonts w:ascii="Times New Roman" w:hAnsi="Times New Roman" w:cs="Times New Roman"/>
          <w:sz w:val="24"/>
          <w:szCs w:val="24"/>
        </w:rPr>
        <w:t>Aβ</w:t>
      </w:r>
      <w:r w:rsidRPr="00734A7D">
        <w:rPr>
          <w:rFonts w:ascii="Times New Roman" w:hAnsi="Times New Roman" w:cs="Times New Roman"/>
          <w:sz w:val="24"/>
          <w:szCs w:val="24"/>
        </w:rPr>
        <w:t xml:space="preserve"> burden in precuneus, subcortical, and parietal regions in CN-to-MCI/AD progressors and cingulate, temporal</w:t>
      </w:r>
      <w:r w:rsidR="005021B5" w:rsidRPr="00734A7D">
        <w:rPr>
          <w:rFonts w:ascii="Times New Roman" w:hAnsi="Times New Roman" w:cs="Times New Roman"/>
          <w:sz w:val="24"/>
          <w:szCs w:val="24"/>
        </w:rPr>
        <w:t xml:space="preserve">, and frontal regions in </w:t>
      </w:r>
      <w:r w:rsidRPr="00734A7D">
        <w:rPr>
          <w:rFonts w:ascii="Times New Roman" w:hAnsi="Times New Roman" w:cs="Times New Roman"/>
          <w:sz w:val="24"/>
          <w:szCs w:val="24"/>
        </w:rPr>
        <w:t xml:space="preserve">MCI-to-AD progressors. </w:t>
      </w:r>
      <w:r w:rsidR="00FC4697" w:rsidRPr="00734A7D">
        <w:rPr>
          <w:rFonts w:ascii="Times New Roman" w:hAnsi="Times New Roman" w:cs="Times New Roman"/>
          <w:sz w:val="24"/>
          <w:szCs w:val="24"/>
        </w:rPr>
        <w:t xml:space="preserve">Importantly, these regional patterns predicted progression to advanced stages </w:t>
      </w:r>
      <w:r w:rsidR="005021B5" w:rsidRPr="00734A7D">
        <w:rPr>
          <w:rFonts w:ascii="Times New Roman" w:hAnsi="Times New Roman" w:cs="Times New Roman"/>
          <w:sz w:val="24"/>
          <w:szCs w:val="24"/>
        </w:rPr>
        <w:t>on the AD spectrum in the short</w:t>
      </w:r>
      <w:r w:rsidR="00FC4697" w:rsidRPr="00734A7D">
        <w:rPr>
          <w:rFonts w:ascii="Times New Roman" w:hAnsi="Times New Roman" w:cs="Times New Roman"/>
          <w:sz w:val="24"/>
          <w:szCs w:val="24"/>
        </w:rPr>
        <w:t xml:space="preserve"> and the long-term beyond global A</w:t>
      </w:r>
      <w:r w:rsidR="00FC4697" w:rsidRPr="00734A7D">
        <w:rPr>
          <w:rFonts w:ascii="Times New Roman" w:hAnsi="Times New Roman" w:cs="Times New Roman"/>
          <w:sz w:val="24"/>
          <w:szCs w:val="24"/>
          <w:lang w:val="de-DE"/>
        </w:rPr>
        <w:t>β</w:t>
      </w:r>
      <w:r w:rsidR="00FC4697" w:rsidRPr="00734A7D">
        <w:rPr>
          <w:rFonts w:ascii="Times New Roman" w:hAnsi="Times New Roman" w:cs="Times New Roman"/>
          <w:sz w:val="24"/>
          <w:szCs w:val="24"/>
        </w:rPr>
        <w:t xml:space="preserve"> burden and CSF biomarkers. These results suggest that distinct regional patterns of A</w:t>
      </w:r>
      <w:r w:rsidR="00FC4697" w:rsidRPr="00734A7D">
        <w:rPr>
          <w:rFonts w:ascii="Times New Roman" w:hAnsi="Times New Roman" w:cs="Times New Roman"/>
          <w:sz w:val="24"/>
          <w:szCs w:val="24"/>
          <w:lang w:val="de-DE"/>
        </w:rPr>
        <w:t>β</w:t>
      </w:r>
      <w:r w:rsidR="00FC4697" w:rsidRPr="00734A7D">
        <w:rPr>
          <w:rFonts w:ascii="Times New Roman" w:hAnsi="Times New Roman" w:cs="Times New Roman"/>
          <w:sz w:val="24"/>
          <w:szCs w:val="24"/>
        </w:rPr>
        <w:t xml:space="preserve"> burden are a valuable biomarker for risk of disease progression in CN and MCI.</w:t>
      </w:r>
    </w:p>
    <w:p w14:paraId="439B236E" w14:textId="77777777" w:rsidR="005A79A6" w:rsidRPr="00734A7D" w:rsidRDefault="005A79A6" w:rsidP="001C5196">
      <w:pPr>
        <w:spacing w:after="0" w:line="480" w:lineRule="auto"/>
        <w:rPr>
          <w:rFonts w:ascii="Times New Roman" w:hAnsi="Times New Roman" w:cs="Times New Roman"/>
          <w:sz w:val="24"/>
          <w:szCs w:val="24"/>
        </w:rPr>
      </w:pPr>
    </w:p>
    <w:p w14:paraId="43391885" w14:textId="77777777" w:rsidR="00712006" w:rsidRPr="00734A7D" w:rsidRDefault="00712006" w:rsidP="001C5196">
      <w:pPr>
        <w:spacing w:after="0" w:line="480" w:lineRule="auto"/>
        <w:rPr>
          <w:rFonts w:ascii="Times New Roman" w:hAnsi="Times New Roman" w:cs="Times New Roman"/>
          <w:b/>
          <w:bCs/>
          <w:sz w:val="24"/>
          <w:szCs w:val="24"/>
        </w:rPr>
      </w:pPr>
      <w:r w:rsidRPr="00734A7D">
        <w:rPr>
          <w:rFonts w:ascii="Times New Roman" w:hAnsi="Times New Roman" w:cs="Times New Roman"/>
          <w:b/>
          <w:bCs/>
          <w:sz w:val="24"/>
          <w:szCs w:val="24"/>
        </w:rPr>
        <w:t>Keywords</w:t>
      </w:r>
      <w:r w:rsidRPr="00734A7D">
        <w:rPr>
          <w:rFonts w:ascii="Times New Roman" w:hAnsi="Times New Roman" w:cs="Times New Roman"/>
          <w:sz w:val="24"/>
          <w:szCs w:val="24"/>
        </w:rPr>
        <w:t>: Alzheimer’s disease, mild cognitive impairment, regional amyloid burden, positron emission tomography, disease progression, amyloid-beta</w:t>
      </w:r>
    </w:p>
    <w:p w14:paraId="20B65FF4" w14:textId="7F8C76D6" w:rsidR="00BF6765" w:rsidRPr="00734A7D" w:rsidRDefault="00BF6765" w:rsidP="0093102E">
      <w:pPr>
        <w:spacing w:before="240" w:line="480" w:lineRule="auto"/>
        <w:rPr>
          <w:rFonts w:ascii="Times New Roman" w:hAnsi="Times New Roman" w:cs="Times New Roman"/>
          <w:b/>
          <w:bCs/>
          <w:sz w:val="24"/>
          <w:szCs w:val="24"/>
          <w:lang w:val="en-GB"/>
        </w:rPr>
      </w:pPr>
    </w:p>
    <w:p w14:paraId="4AB7F796" w14:textId="0F89AFC4" w:rsidR="001C5196" w:rsidRPr="00734A7D" w:rsidRDefault="001C5196" w:rsidP="0093102E">
      <w:pPr>
        <w:spacing w:before="240" w:line="480" w:lineRule="auto"/>
        <w:rPr>
          <w:rFonts w:ascii="Times New Roman" w:hAnsi="Times New Roman" w:cs="Times New Roman"/>
          <w:b/>
          <w:bCs/>
          <w:sz w:val="24"/>
          <w:szCs w:val="24"/>
          <w:lang w:val="en-GB"/>
        </w:rPr>
      </w:pPr>
    </w:p>
    <w:p w14:paraId="3028AEAC" w14:textId="47543A1B" w:rsidR="001C5196" w:rsidRPr="00734A7D" w:rsidRDefault="001C5196" w:rsidP="0093102E">
      <w:pPr>
        <w:spacing w:before="240" w:line="480" w:lineRule="auto"/>
        <w:rPr>
          <w:rFonts w:ascii="Times New Roman" w:hAnsi="Times New Roman" w:cs="Times New Roman"/>
          <w:b/>
          <w:bCs/>
          <w:sz w:val="24"/>
          <w:szCs w:val="24"/>
          <w:lang w:val="en-GB"/>
        </w:rPr>
      </w:pPr>
    </w:p>
    <w:p w14:paraId="0545F182" w14:textId="7DD56E98" w:rsidR="001C5196" w:rsidRPr="00734A7D" w:rsidRDefault="001C5196" w:rsidP="0093102E">
      <w:pPr>
        <w:spacing w:before="240" w:line="480" w:lineRule="auto"/>
        <w:rPr>
          <w:rFonts w:ascii="Times New Roman" w:hAnsi="Times New Roman" w:cs="Times New Roman"/>
          <w:b/>
          <w:bCs/>
          <w:sz w:val="24"/>
          <w:szCs w:val="24"/>
          <w:lang w:val="en-GB"/>
        </w:rPr>
      </w:pPr>
    </w:p>
    <w:p w14:paraId="0000A659" w14:textId="77777777" w:rsidR="001C5196" w:rsidRPr="00734A7D" w:rsidRDefault="001C5196" w:rsidP="0093102E">
      <w:pPr>
        <w:spacing w:before="240" w:line="480" w:lineRule="auto"/>
        <w:rPr>
          <w:rFonts w:ascii="Times New Roman" w:hAnsi="Times New Roman" w:cs="Times New Roman"/>
          <w:b/>
          <w:bCs/>
          <w:sz w:val="24"/>
          <w:szCs w:val="24"/>
          <w:lang w:val="en-GB"/>
        </w:rPr>
      </w:pPr>
    </w:p>
    <w:p w14:paraId="74E6B530" w14:textId="77777777" w:rsidR="00712006" w:rsidRPr="00734A7D" w:rsidRDefault="00712006" w:rsidP="0093102E">
      <w:pPr>
        <w:spacing w:before="240" w:line="480" w:lineRule="auto"/>
        <w:rPr>
          <w:rFonts w:ascii="Times New Roman" w:hAnsi="Times New Roman" w:cs="Times New Roman"/>
          <w:b/>
          <w:bCs/>
          <w:sz w:val="24"/>
          <w:szCs w:val="24"/>
        </w:rPr>
      </w:pPr>
      <w:r w:rsidRPr="00734A7D">
        <w:rPr>
          <w:rFonts w:ascii="Times New Roman" w:hAnsi="Times New Roman" w:cs="Times New Roman"/>
          <w:b/>
          <w:bCs/>
          <w:sz w:val="24"/>
          <w:szCs w:val="24"/>
        </w:rPr>
        <w:lastRenderedPageBreak/>
        <w:t>1. BACKGROUND</w:t>
      </w:r>
    </w:p>
    <w:p w14:paraId="51C1F14A" w14:textId="5F09BF36" w:rsidR="00712006" w:rsidRPr="00734A7D" w:rsidRDefault="00712006" w:rsidP="0093102E">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The earliest pathological hallmark of Alzheimer’s disease (AD) is the accumulation of amyloid-beta (Aβ). Even though Aβ accumulation may be evident in individuals more than 20 years before progression to clinical dementia </w:t>
      </w:r>
      <w:r w:rsidR="002C0483" w:rsidRPr="00734A7D">
        <w:rPr>
          <w:rFonts w:ascii="Times New Roman" w:hAnsi="Times New Roman" w:cs="Times New Roman"/>
          <w:sz w:val="24"/>
          <w:szCs w:val="24"/>
        </w:rPr>
        <w:t>(Bateman et al., 2012;</w:t>
      </w:r>
      <w:r w:rsidRPr="00734A7D">
        <w:rPr>
          <w:rFonts w:ascii="Times New Roman" w:hAnsi="Times New Roman" w:cs="Times New Roman"/>
          <w:sz w:val="24"/>
          <w:szCs w:val="24"/>
        </w:rPr>
        <w:t xml:space="preserve"> </w:t>
      </w:r>
      <w:r w:rsidR="002C0483" w:rsidRPr="00734A7D">
        <w:rPr>
          <w:rFonts w:ascii="Times New Roman" w:hAnsi="Times New Roman" w:cs="Times New Roman"/>
          <w:sz w:val="24"/>
          <w:szCs w:val="24"/>
        </w:rPr>
        <w:t>Rowe et al., 2010)</w:t>
      </w:r>
      <w:r w:rsidRPr="00734A7D">
        <w:rPr>
          <w:rFonts w:ascii="Times New Roman" w:hAnsi="Times New Roman" w:cs="Times New Roman"/>
          <w:sz w:val="24"/>
          <w:szCs w:val="24"/>
        </w:rPr>
        <w:t xml:space="preserve">, no overt symptoms are present at this point. Since clinical trials targeting Aβ accumulation at clinical stages of the disease have mostly failed so far, the need for new treatment approaches and diagnostic tools to identify individuals at an early, preclinical stage of the disease trajectory is high. </w:t>
      </w:r>
    </w:p>
    <w:p w14:paraId="185291A8" w14:textId="4A1C78E9" w:rsidR="00712006" w:rsidRPr="00734A7D" w:rsidRDefault="00712006" w:rsidP="0093102E">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Positron emission tomography (PET) Aβ-tracers selectively bind to Aβ plaques</w:t>
      </w:r>
      <w:r w:rsidR="003F26B8" w:rsidRPr="00734A7D">
        <w:rPr>
          <w:rFonts w:ascii="Times New Roman" w:hAnsi="Times New Roman" w:cs="Times New Roman"/>
          <w:sz w:val="24"/>
          <w:szCs w:val="24"/>
        </w:rPr>
        <w:t>,</w:t>
      </w:r>
      <w:r w:rsidRPr="00734A7D">
        <w:rPr>
          <w:rFonts w:ascii="Times New Roman" w:hAnsi="Times New Roman" w:cs="Times New Roman"/>
          <w:sz w:val="24"/>
          <w:szCs w:val="24"/>
        </w:rPr>
        <w:t xml:space="preserve"> allowing the visualization and quantification of Aβ burden in the brain non-invasively. The clinical standard currently is still a binary distinction of individual patients into Aβ-positive or negative based on the global Aβ burden. Although a binary distinction is imperative for the differential diagnosis, additional information could be extracted from Aβ PET images that may potentially inform disease trajectories. Already post-mortem pathologic studies showed that Aβ deposition follows a specific pattern of spread </w:t>
      </w:r>
      <w:r w:rsidR="002C0483" w:rsidRPr="00734A7D">
        <w:rPr>
          <w:rFonts w:ascii="Times New Roman" w:hAnsi="Times New Roman" w:cs="Times New Roman"/>
          <w:sz w:val="24"/>
          <w:szCs w:val="24"/>
        </w:rPr>
        <w:t>(Thal et al., 2002)</w:t>
      </w:r>
      <w:r w:rsidRPr="00734A7D">
        <w:rPr>
          <w:rFonts w:ascii="Times New Roman" w:hAnsi="Times New Roman" w:cs="Times New Roman"/>
          <w:sz w:val="24"/>
          <w:szCs w:val="24"/>
        </w:rPr>
        <w:t xml:space="preserve">. However, the predictive power of these regional associations concerning disease progression from prodromal to clinical stages remains to be elucidated. </w:t>
      </w:r>
      <w:r w:rsidR="00A01EB5" w:rsidRPr="00734A7D">
        <w:rPr>
          <w:rFonts w:ascii="Times New Roman" w:hAnsi="Times New Roman" w:cs="Times New Roman"/>
          <w:sz w:val="24"/>
          <w:szCs w:val="24"/>
        </w:rPr>
        <w:t xml:space="preserve">Regional Aβ burden </w:t>
      </w:r>
      <w:r w:rsidR="00887964" w:rsidRPr="00734A7D">
        <w:rPr>
          <w:rFonts w:ascii="Times New Roman" w:hAnsi="Times New Roman" w:cs="Times New Roman"/>
          <w:sz w:val="24"/>
          <w:szCs w:val="24"/>
        </w:rPr>
        <w:t>in the posterior cingulate, precuneus, and lateral parietal</w:t>
      </w:r>
      <w:r w:rsidR="0078507A" w:rsidRPr="00734A7D">
        <w:rPr>
          <w:rFonts w:ascii="Times New Roman" w:hAnsi="Times New Roman" w:cs="Times New Roman"/>
          <w:sz w:val="24"/>
          <w:szCs w:val="24"/>
        </w:rPr>
        <w:t>,</w:t>
      </w:r>
      <w:r w:rsidR="00887964" w:rsidRPr="00734A7D">
        <w:rPr>
          <w:rFonts w:ascii="Times New Roman" w:hAnsi="Times New Roman" w:cs="Times New Roman"/>
          <w:sz w:val="24"/>
          <w:szCs w:val="24"/>
        </w:rPr>
        <w:t xml:space="preserve"> as well as the banks of the superior temporal sulcus </w:t>
      </w:r>
      <w:r w:rsidR="00A01EB5" w:rsidRPr="00734A7D">
        <w:rPr>
          <w:rFonts w:ascii="Times New Roman" w:hAnsi="Times New Roman" w:cs="Times New Roman"/>
          <w:sz w:val="24"/>
          <w:szCs w:val="24"/>
        </w:rPr>
        <w:t>has been associated with longitudinal cognitive decline in amyloid-negative cognitively normal elderly adults (</w:t>
      </w:r>
      <w:r w:rsidR="00C90FA3" w:rsidRPr="00734A7D">
        <w:rPr>
          <w:rFonts w:ascii="Times New Roman" w:hAnsi="Times New Roman" w:cs="Times New Roman"/>
          <w:sz w:val="24"/>
          <w:szCs w:val="24"/>
        </w:rPr>
        <w:t>Guo et al., 2020; Farrell et al., 2018</w:t>
      </w:r>
      <w:r w:rsidR="00A01EB5" w:rsidRPr="00734A7D">
        <w:rPr>
          <w:rFonts w:ascii="Times New Roman" w:hAnsi="Times New Roman" w:cs="Times New Roman"/>
          <w:sz w:val="24"/>
          <w:szCs w:val="24"/>
        </w:rPr>
        <w:t>)</w:t>
      </w:r>
      <w:r w:rsidR="00887964" w:rsidRPr="00734A7D">
        <w:rPr>
          <w:rFonts w:ascii="Times New Roman" w:hAnsi="Times New Roman" w:cs="Times New Roman"/>
          <w:sz w:val="24"/>
          <w:szCs w:val="24"/>
        </w:rPr>
        <w:t>, emphasizing the contribution of regional Aβ to cognitive aging</w:t>
      </w:r>
      <w:r w:rsidR="00A01EB5" w:rsidRPr="00734A7D">
        <w:rPr>
          <w:rFonts w:ascii="Times New Roman" w:hAnsi="Times New Roman" w:cs="Times New Roman"/>
          <w:sz w:val="24"/>
          <w:szCs w:val="24"/>
        </w:rPr>
        <w:t>.</w:t>
      </w:r>
      <w:r w:rsidR="00887964" w:rsidRPr="00734A7D">
        <w:rPr>
          <w:rFonts w:ascii="Times New Roman" w:hAnsi="Times New Roman" w:cs="Times New Roman"/>
          <w:sz w:val="24"/>
          <w:szCs w:val="24"/>
        </w:rPr>
        <w:t xml:space="preserve"> Nevertheless, these studies do not allow inferences about the role of regional Aβ burden of disease progression in preclinical or prodromal populations.</w:t>
      </w:r>
      <w:r w:rsidR="00A01EB5" w:rsidRPr="00734A7D">
        <w:rPr>
          <w:rFonts w:ascii="Times New Roman" w:hAnsi="Times New Roman" w:cs="Times New Roman"/>
          <w:sz w:val="24"/>
          <w:szCs w:val="24"/>
        </w:rPr>
        <w:t xml:space="preserve"> </w:t>
      </w:r>
      <w:r w:rsidR="00887964" w:rsidRPr="00734A7D">
        <w:rPr>
          <w:rFonts w:ascii="Times New Roman" w:hAnsi="Times New Roman" w:cs="Times New Roman"/>
          <w:sz w:val="24"/>
          <w:szCs w:val="24"/>
        </w:rPr>
        <w:t>G</w:t>
      </w:r>
      <w:r w:rsidRPr="00734A7D">
        <w:rPr>
          <w:rFonts w:ascii="Times New Roman" w:hAnsi="Times New Roman" w:cs="Times New Roman"/>
          <w:sz w:val="24"/>
          <w:szCs w:val="24"/>
        </w:rPr>
        <w:t>lobal Aβ burden</w:t>
      </w:r>
      <w:r w:rsidR="00887964" w:rsidRPr="00734A7D">
        <w:rPr>
          <w:rFonts w:ascii="Times New Roman" w:hAnsi="Times New Roman" w:cs="Times New Roman"/>
          <w:sz w:val="24"/>
          <w:szCs w:val="24"/>
        </w:rPr>
        <w:t>, on the other hand,</w:t>
      </w:r>
      <w:r w:rsidRPr="00734A7D">
        <w:rPr>
          <w:rFonts w:ascii="Times New Roman" w:hAnsi="Times New Roman" w:cs="Times New Roman"/>
          <w:sz w:val="24"/>
          <w:szCs w:val="24"/>
        </w:rPr>
        <w:t xml:space="preserve"> has been shown to predict progression to AD in some cases </w:t>
      </w:r>
      <w:r w:rsidR="002C0483" w:rsidRPr="00734A7D">
        <w:rPr>
          <w:rFonts w:ascii="Times New Roman" w:hAnsi="Times New Roman" w:cs="Times New Roman"/>
          <w:sz w:val="24"/>
          <w:szCs w:val="24"/>
        </w:rPr>
        <w:t>(Ciarmiello et al., 2019; Jun et al., 2019)</w:t>
      </w:r>
      <w:r w:rsidRPr="00734A7D">
        <w:rPr>
          <w:rFonts w:ascii="Times New Roman" w:hAnsi="Times New Roman" w:cs="Times New Roman"/>
          <w:sz w:val="24"/>
          <w:szCs w:val="24"/>
        </w:rPr>
        <w:t xml:space="preserve">, </w:t>
      </w:r>
      <w:r w:rsidR="0078507A" w:rsidRPr="00734A7D">
        <w:rPr>
          <w:rFonts w:ascii="Times New Roman" w:hAnsi="Times New Roman" w:cs="Times New Roman"/>
          <w:sz w:val="24"/>
          <w:szCs w:val="24"/>
        </w:rPr>
        <w:t xml:space="preserve">however, </w:t>
      </w:r>
      <w:r w:rsidRPr="00734A7D">
        <w:rPr>
          <w:rFonts w:ascii="Times New Roman" w:hAnsi="Times New Roman" w:cs="Times New Roman"/>
          <w:sz w:val="24"/>
          <w:szCs w:val="24"/>
        </w:rPr>
        <w:t>the time of progression</w:t>
      </w:r>
      <w:r w:rsidR="0028001F" w:rsidRPr="00734A7D">
        <w:rPr>
          <w:rFonts w:ascii="Times New Roman" w:hAnsi="Times New Roman" w:cs="Times New Roman"/>
          <w:sz w:val="24"/>
          <w:szCs w:val="24"/>
        </w:rPr>
        <w:t xml:space="preserve"> to manifest dementia</w:t>
      </w:r>
      <w:r w:rsidRPr="00734A7D">
        <w:rPr>
          <w:rFonts w:ascii="Times New Roman" w:hAnsi="Times New Roman" w:cs="Times New Roman"/>
          <w:sz w:val="24"/>
          <w:szCs w:val="24"/>
        </w:rPr>
        <w:t xml:space="preserve"> cannot be deduced from this binary classification or global measurement</w:t>
      </w:r>
      <w:r w:rsidR="00781C7E" w:rsidRPr="00734A7D">
        <w:rPr>
          <w:rFonts w:ascii="Times New Roman" w:hAnsi="Times New Roman" w:cs="Times New Roman"/>
          <w:sz w:val="24"/>
          <w:szCs w:val="24"/>
        </w:rPr>
        <w:t>, so far</w:t>
      </w:r>
      <w:r w:rsidRPr="00734A7D">
        <w:rPr>
          <w:rFonts w:ascii="Times New Roman" w:hAnsi="Times New Roman" w:cs="Times New Roman"/>
          <w:sz w:val="24"/>
          <w:szCs w:val="24"/>
        </w:rPr>
        <w:t xml:space="preserve">. </w:t>
      </w:r>
      <w:r w:rsidR="0078507A" w:rsidRPr="00734A7D">
        <w:rPr>
          <w:rFonts w:ascii="Times New Roman" w:hAnsi="Times New Roman" w:cs="Times New Roman"/>
          <w:sz w:val="24"/>
          <w:szCs w:val="24"/>
        </w:rPr>
        <w:lastRenderedPageBreak/>
        <w:t>Nonetheless</w:t>
      </w:r>
      <w:r w:rsidR="000B33C5" w:rsidRPr="00734A7D">
        <w:rPr>
          <w:rFonts w:ascii="Times New Roman" w:hAnsi="Times New Roman" w:cs="Times New Roman"/>
          <w:sz w:val="24"/>
          <w:szCs w:val="24"/>
        </w:rPr>
        <w:t xml:space="preserve">, this information would be </w:t>
      </w:r>
      <w:r w:rsidRPr="00734A7D">
        <w:rPr>
          <w:rFonts w:ascii="Times New Roman" w:hAnsi="Times New Roman" w:cs="Times New Roman"/>
          <w:sz w:val="24"/>
          <w:szCs w:val="24"/>
        </w:rPr>
        <w:t xml:space="preserve">essential from a clinical point of view, but also for the arrangement of patient’s and care-taker’s health-related matters. </w:t>
      </w:r>
    </w:p>
    <w:p w14:paraId="32AA917B" w14:textId="2C991C94" w:rsidR="00712006" w:rsidRPr="00734A7D" w:rsidRDefault="00712006" w:rsidP="001856C7">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We hypothesize that </w:t>
      </w:r>
      <w:r w:rsidR="00875B97" w:rsidRPr="00734A7D">
        <w:rPr>
          <w:rFonts w:ascii="Times New Roman" w:hAnsi="Times New Roman" w:cs="Times New Roman"/>
          <w:sz w:val="24"/>
          <w:szCs w:val="24"/>
        </w:rPr>
        <w:t xml:space="preserve">that specific regional patterns of </w:t>
      </w:r>
      <w:r w:rsidR="00111E36" w:rsidRPr="00734A7D">
        <w:rPr>
          <w:rFonts w:ascii="Times New Roman" w:hAnsi="Times New Roman" w:cs="Times New Roman"/>
          <w:sz w:val="24"/>
          <w:szCs w:val="24"/>
        </w:rPr>
        <w:t xml:space="preserve">Aβ </w:t>
      </w:r>
      <w:r w:rsidR="00875B97" w:rsidRPr="00734A7D">
        <w:rPr>
          <w:rFonts w:ascii="Times New Roman" w:hAnsi="Times New Roman" w:cs="Times New Roman"/>
          <w:sz w:val="24"/>
          <w:szCs w:val="24"/>
        </w:rPr>
        <w:t xml:space="preserve">deposition may constitute a predictive value for </w:t>
      </w:r>
      <w:r w:rsidR="00D9440E" w:rsidRPr="00734A7D">
        <w:rPr>
          <w:rFonts w:ascii="Times New Roman" w:hAnsi="Times New Roman" w:cs="Times New Roman"/>
          <w:sz w:val="24"/>
          <w:szCs w:val="24"/>
        </w:rPr>
        <w:t>both</w:t>
      </w:r>
      <w:r w:rsidR="00875B97" w:rsidRPr="00734A7D">
        <w:rPr>
          <w:rFonts w:ascii="Times New Roman" w:hAnsi="Times New Roman" w:cs="Times New Roman"/>
          <w:sz w:val="24"/>
          <w:szCs w:val="24"/>
        </w:rPr>
        <w:t xml:space="preserve"> </w:t>
      </w:r>
      <w:r w:rsidR="00111E36" w:rsidRPr="00734A7D">
        <w:rPr>
          <w:rFonts w:ascii="Times New Roman" w:hAnsi="Times New Roman" w:cs="Times New Roman"/>
          <w:sz w:val="24"/>
          <w:szCs w:val="24"/>
        </w:rPr>
        <w:t>Aβ-</w:t>
      </w:r>
      <w:r w:rsidR="00875B97" w:rsidRPr="00734A7D">
        <w:rPr>
          <w:rFonts w:ascii="Times New Roman" w:hAnsi="Times New Roman" w:cs="Times New Roman"/>
          <w:sz w:val="24"/>
          <w:szCs w:val="24"/>
        </w:rPr>
        <w:t xml:space="preserve">positive cognitively normal (CN) </w:t>
      </w:r>
      <w:r w:rsidR="00D9440E" w:rsidRPr="00734A7D">
        <w:rPr>
          <w:rFonts w:ascii="Times New Roman" w:hAnsi="Times New Roman" w:cs="Times New Roman"/>
          <w:sz w:val="24"/>
          <w:szCs w:val="24"/>
        </w:rPr>
        <w:t xml:space="preserve">individuals </w:t>
      </w:r>
      <w:r w:rsidR="00875B97" w:rsidRPr="00734A7D">
        <w:rPr>
          <w:rFonts w:ascii="Times New Roman" w:hAnsi="Times New Roman" w:cs="Times New Roman"/>
          <w:sz w:val="24"/>
          <w:szCs w:val="24"/>
        </w:rPr>
        <w:t>and individuals with mild cognitive impairment (MCI) who subsequently advance on the continuum of clini</w:t>
      </w:r>
      <w:r w:rsidR="00780F19" w:rsidRPr="00734A7D">
        <w:rPr>
          <w:rFonts w:ascii="Times New Roman" w:hAnsi="Times New Roman" w:cs="Times New Roman"/>
          <w:sz w:val="24"/>
          <w:szCs w:val="24"/>
        </w:rPr>
        <w:t xml:space="preserve">cal Alzheimer’s disease (AD). </w:t>
      </w:r>
      <w:r w:rsidR="00875B97" w:rsidRPr="00734A7D">
        <w:rPr>
          <w:rFonts w:ascii="Times New Roman" w:hAnsi="Times New Roman" w:cs="Times New Roman"/>
          <w:sz w:val="24"/>
          <w:szCs w:val="24"/>
        </w:rPr>
        <w:t xml:space="preserve">Additionally, we propose that the regional susceptibility of </w:t>
      </w:r>
      <w:r w:rsidR="00617530" w:rsidRPr="00734A7D">
        <w:rPr>
          <w:rFonts w:ascii="Times New Roman" w:hAnsi="Times New Roman" w:cs="Times New Roman"/>
          <w:sz w:val="24"/>
          <w:szCs w:val="24"/>
        </w:rPr>
        <w:t xml:space="preserve">Aβ </w:t>
      </w:r>
      <w:r w:rsidR="00875B97" w:rsidRPr="00734A7D">
        <w:rPr>
          <w:rFonts w:ascii="Times New Roman" w:hAnsi="Times New Roman" w:cs="Times New Roman"/>
          <w:sz w:val="24"/>
          <w:szCs w:val="24"/>
        </w:rPr>
        <w:t xml:space="preserve">to predict progression </w:t>
      </w:r>
      <w:r w:rsidR="00D9440E" w:rsidRPr="00734A7D">
        <w:rPr>
          <w:rFonts w:ascii="Times New Roman" w:hAnsi="Times New Roman" w:cs="Times New Roman"/>
          <w:sz w:val="24"/>
          <w:szCs w:val="24"/>
        </w:rPr>
        <w:t>is</w:t>
      </w:r>
      <w:r w:rsidR="00875B97" w:rsidRPr="00734A7D">
        <w:rPr>
          <w:rFonts w:ascii="Times New Roman" w:hAnsi="Times New Roman" w:cs="Times New Roman"/>
          <w:sz w:val="24"/>
          <w:szCs w:val="24"/>
        </w:rPr>
        <w:t xml:space="preserve"> different </w:t>
      </w:r>
      <w:r w:rsidR="00133778" w:rsidRPr="00734A7D">
        <w:rPr>
          <w:rFonts w:ascii="Times New Roman" w:hAnsi="Times New Roman" w:cs="Times New Roman"/>
          <w:sz w:val="24"/>
          <w:szCs w:val="24"/>
        </w:rPr>
        <w:t>depending on the baseline diagnosis (i.e., CN or MCI). Lastly</w:t>
      </w:r>
      <w:r w:rsidR="00D304D5" w:rsidRPr="00734A7D">
        <w:rPr>
          <w:rFonts w:ascii="Times New Roman" w:hAnsi="Times New Roman" w:cs="Times New Roman"/>
          <w:sz w:val="24"/>
          <w:szCs w:val="24"/>
        </w:rPr>
        <w:t>,</w:t>
      </w:r>
      <w:r w:rsidR="00D9440E" w:rsidRPr="00734A7D">
        <w:rPr>
          <w:rFonts w:ascii="Times New Roman" w:hAnsi="Times New Roman" w:cs="Times New Roman"/>
          <w:sz w:val="24"/>
          <w:szCs w:val="24"/>
        </w:rPr>
        <w:t xml:space="preserve"> we hypothesize</w:t>
      </w:r>
      <w:r w:rsidR="00133778" w:rsidRPr="00734A7D">
        <w:rPr>
          <w:rFonts w:ascii="Times New Roman" w:hAnsi="Times New Roman" w:cs="Times New Roman"/>
          <w:sz w:val="24"/>
          <w:szCs w:val="24"/>
        </w:rPr>
        <w:t xml:space="preserve"> that this potential identified pattern of regional </w:t>
      </w:r>
      <w:r w:rsidR="00617530" w:rsidRPr="00734A7D">
        <w:rPr>
          <w:rFonts w:ascii="Times New Roman" w:hAnsi="Times New Roman" w:cs="Times New Roman"/>
          <w:sz w:val="24"/>
          <w:szCs w:val="24"/>
        </w:rPr>
        <w:t xml:space="preserve">Aβ </w:t>
      </w:r>
      <w:r w:rsidR="00133778" w:rsidRPr="00734A7D">
        <w:rPr>
          <w:rFonts w:ascii="Times New Roman" w:hAnsi="Times New Roman" w:cs="Times New Roman"/>
          <w:sz w:val="24"/>
          <w:szCs w:val="24"/>
        </w:rPr>
        <w:t>may constitute a more predictive biomarker than global Aβ or CSF measures, and that they may be unique for disease progression stage.</w:t>
      </w:r>
    </w:p>
    <w:p w14:paraId="549BDF0B" w14:textId="77777777" w:rsidR="00712006" w:rsidRPr="00734A7D" w:rsidRDefault="00712006" w:rsidP="0093102E">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2. METHODS</w:t>
      </w:r>
    </w:p>
    <w:p w14:paraId="7AC88E25" w14:textId="77777777" w:rsidR="00712006" w:rsidRPr="00734A7D" w:rsidRDefault="00712006" w:rsidP="0093102E">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2.1 Participants</w:t>
      </w:r>
    </w:p>
    <w:p w14:paraId="5527800A" w14:textId="386E5871" w:rsidR="00B36387" w:rsidRPr="00734A7D" w:rsidRDefault="00712006" w:rsidP="00EC40BB">
      <w:pPr>
        <w:pStyle w:val="xmsonormal"/>
        <w:shd w:val="clear" w:color="auto" w:fill="FFFFFF"/>
        <w:spacing w:before="0" w:beforeAutospacing="0" w:after="0" w:afterAutospacing="0" w:line="480" w:lineRule="auto"/>
        <w:rPr>
          <w:rFonts w:eastAsiaTheme="minorHAnsi"/>
          <w:lang w:val="en-US" w:eastAsia="en-US"/>
        </w:rPr>
      </w:pPr>
      <w:r w:rsidRPr="00734A7D">
        <w:rPr>
          <w:rFonts w:eastAsiaTheme="minorHAnsi"/>
          <w:lang w:val="en-US" w:eastAsia="en-US"/>
        </w:rPr>
        <w:t>Data used for this study were derived from the Alzheimer’s Disease Neuroimaging Initiative (ADNI) (http://adni.loni.usc.edu/). Key screening criteria for inclusion were: 1) Aβ-positivity from baseline until follow-up (</w:t>
      </w:r>
      <w:r w:rsidR="008A31EE" w:rsidRPr="00734A7D">
        <w:rPr>
          <w:rFonts w:eastAsiaTheme="minorHAnsi"/>
          <w:lang w:val="en-US" w:eastAsia="en-US"/>
        </w:rPr>
        <w:t>standardized uptake value ratio (</w:t>
      </w:r>
      <w:r w:rsidRPr="00734A7D">
        <w:rPr>
          <w:rFonts w:eastAsiaTheme="minorHAnsi"/>
          <w:lang w:val="en-US" w:eastAsia="en-US"/>
        </w:rPr>
        <w:t>SUV</w:t>
      </w:r>
      <w:r w:rsidR="004B3E47" w:rsidRPr="00734A7D">
        <w:rPr>
          <w:rFonts w:eastAsiaTheme="minorHAnsi"/>
          <w:lang w:val="en-US" w:eastAsia="en-US"/>
        </w:rPr>
        <w:t>R</w:t>
      </w:r>
      <w:r w:rsidR="008A31EE" w:rsidRPr="00734A7D">
        <w:rPr>
          <w:rFonts w:eastAsiaTheme="minorHAnsi"/>
          <w:lang w:val="en-US" w:eastAsia="en-US"/>
        </w:rPr>
        <w:t>)</w:t>
      </w:r>
      <w:r w:rsidRPr="00734A7D">
        <w:rPr>
          <w:rFonts w:eastAsiaTheme="minorHAnsi"/>
          <w:lang w:val="en-US" w:eastAsia="en-US"/>
        </w:rPr>
        <w:t xml:space="preserve"> &gt; 1.1, see </w:t>
      </w:r>
      <w:r w:rsidR="002C0483" w:rsidRPr="00734A7D">
        <w:rPr>
          <w:rFonts w:eastAsiaTheme="minorHAnsi"/>
          <w:lang w:val="en-US" w:eastAsia="en-US"/>
        </w:rPr>
        <w:t>Landau &amp; Jagust</w:t>
      </w:r>
      <w:r w:rsidR="008A31EE" w:rsidRPr="00734A7D">
        <w:rPr>
          <w:rFonts w:eastAsiaTheme="minorHAnsi"/>
          <w:lang w:val="en-US" w:eastAsia="en-US"/>
        </w:rPr>
        <w:t xml:space="preserve"> (2</w:t>
      </w:r>
      <w:r w:rsidR="002C0483" w:rsidRPr="00734A7D">
        <w:rPr>
          <w:rFonts w:eastAsiaTheme="minorHAnsi"/>
          <w:lang w:val="en-US" w:eastAsia="en-US"/>
        </w:rPr>
        <w:t>015</w:t>
      </w:r>
      <w:r w:rsidR="008A31EE" w:rsidRPr="00734A7D">
        <w:rPr>
          <w:rFonts w:eastAsiaTheme="minorHAnsi"/>
          <w:lang w:val="en-US" w:eastAsia="en-US"/>
        </w:rPr>
        <w:t>)</w:t>
      </w:r>
      <w:r w:rsidRPr="00734A7D">
        <w:rPr>
          <w:rFonts w:eastAsiaTheme="minorHAnsi"/>
          <w:lang w:val="en-US" w:eastAsia="en-US"/>
        </w:rPr>
        <w:t xml:space="preserve"> for assessment of this measure), 2) availability of an </w:t>
      </w:r>
      <w:r w:rsidRPr="00734A7D">
        <w:rPr>
          <w:rFonts w:eastAsiaTheme="minorHAnsi"/>
          <w:vertAlign w:val="superscript"/>
          <w:lang w:val="en-US" w:eastAsia="en-US"/>
        </w:rPr>
        <w:t>18</w:t>
      </w:r>
      <w:r w:rsidRPr="00734A7D">
        <w:rPr>
          <w:rFonts w:eastAsiaTheme="minorHAnsi"/>
          <w:lang w:val="en-US" w:eastAsia="en-US"/>
        </w:rPr>
        <w:t>F-Florpetapir PET scan at baseline, 3) a diagnosis o</w:t>
      </w:r>
      <w:r w:rsidR="00D9440E" w:rsidRPr="00734A7D">
        <w:rPr>
          <w:rFonts w:eastAsiaTheme="minorHAnsi"/>
          <w:lang w:val="en-US" w:eastAsia="en-US"/>
        </w:rPr>
        <w:t xml:space="preserve">f either cognitively normal or mild cognitive impairment </w:t>
      </w:r>
      <w:r w:rsidRPr="00734A7D">
        <w:rPr>
          <w:rFonts w:eastAsiaTheme="minorHAnsi"/>
          <w:lang w:val="en-US" w:eastAsia="en-US"/>
        </w:rPr>
        <w:t xml:space="preserve">at baseline, and 4) a follow-up diagnosis (at least 6 months from baseline) of either CN, MCI, or AD. </w:t>
      </w:r>
      <w:r w:rsidR="00EC40BB" w:rsidRPr="00734A7D">
        <w:rPr>
          <w:rFonts w:eastAsiaTheme="minorHAnsi"/>
          <w:lang w:val="en-US" w:eastAsia="en-US"/>
        </w:rPr>
        <w:t>The clinical diagnosis of Alzheimer’s disease was based on the recommended diagnostic National Institute on Aging and Alzheimer's Association (NIA-AA) guidelines from 2011 (Albert et al., 2011; Jack Jr et al., 2011; McKhann et al</w:t>
      </w:r>
      <w:r w:rsidR="00675BB3" w:rsidRPr="00734A7D">
        <w:rPr>
          <w:rFonts w:eastAsiaTheme="minorHAnsi"/>
          <w:lang w:val="en-US" w:eastAsia="en-US"/>
        </w:rPr>
        <w:t xml:space="preserve">., 2011; Sperling et al., 2011). </w:t>
      </w:r>
      <w:r w:rsidRPr="00734A7D">
        <w:t xml:space="preserve">This resulted in 284 participants, 168 males and 116 females (mean age 74.7 ± 6.5 years), out of which four groups were defined: a) individuals who were cognitively normal at baseline and remained stable over a period of at least 6 months (CN-CN), b) individuals who were </w:t>
      </w:r>
      <w:r w:rsidRPr="00734A7D">
        <w:lastRenderedPageBreak/>
        <w:t xml:space="preserve">cognitively normal and progressed to MCI or AD (CN-MCI/AD), c) individuals with a baseline diagnosis of MCI, who remained stable over </w:t>
      </w:r>
      <w:r w:rsidR="00132CF1" w:rsidRPr="00734A7D">
        <w:t xml:space="preserve">a time period of at least 6 months </w:t>
      </w:r>
      <w:r w:rsidRPr="00734A7D">
        <w:t>(MCI-MCI), and d) individuals with a baseline diagnosis of MCI who progressed to AD (MCI-AD). The CN-CN and CN-MCI/AD groups and the MCI-MCI and MCI-AD groups were matched on age and sex, respectively. Furthermore, it was ensured that each progressed participant was matched with a participant who remained stable for at least the same amount of time their matched progressor stayed stable</w:t>
      </w:r>
      <w:r w:rsidR="00B36387" w:rsidRPr="00734A7D">
        <w:t>.</w:t>
      </w:r>
    </w:p>
    <w:p w14:paraId="1D0DBA77" w14:textId="0B54F429" w:rsidR="00712006" w:rsidRPr="00734A7D" w:rsidRDefault="00712006" w:rsidP="00B36387">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 xml:space="preserve">2.2 Positron emission tomography (PET) </w:t>
      </w:r>
    </w:p>
    <w:p w14:paraId="32B72858" w14:textId="3677CAAA" w:rsidR="00712006" w:rsidRPr="00734A7D" w:rsidRDefault="00712006" w:rsidP="000C52F9">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All participants underwent a PET-scan with the </w:t>
      </w:r>
      <w:r w:rsidR="00726E5C" w:rsidRPr="00734A7D">
        <w:rPr>
          <w:rFonts w:ascii="Times New Roman" w:hAnsi="Times New Roman" w:cs="Times New Roman"/>
          <w:sz w:val="24"/>
          <w:szCs w:val="24"/>
          <w:vertAlign w:val="superscript"/>
        </w:rPr>
        <w:t>18</w:t>
      </w:r>
      <w:r w:rsidR="00726E5C" w:rsidRPr="00734A7D">
        <w:rPr>
          <w:rFonts w:ascii="Times New Roman" w:hAnsi="Times New Roman" w:cs="Times New Roman"/>
          <w:sz w:val="24"/>
          <w:szCs w:val="24"/>
        </w:rPr>
        <w:t>F-</w:t>
      </w:r>
      <w:r w:rsidR="00AB6F43" w:rsidRPr="00734A7D">
        <w:rPr>
          <w:rFonts w:ascii="Times New Roman" w:hAnsi="Times New Roman" w:cs="Times New Roman"/>
          <w:sz w:val="24"/>
          <w:szCs w:val="24"/>
        </w:rPr>
        <w:t>florbetapir</w:t>
      </w:r>
      <w:r w:rsidR="00726E5C" w:rsidRPr="00734A7D">
        <w:rPr>
          <w:rFonts w:ascii="Times New Roman" w:hAnsi="Times New Roman" w:cs="Times New Roman"/>
          <w:sz w:val="24"/>
          <w:szCs w:val="24"/>
        </w:rPr>
        <w:t xml:space="preserve"> </w:t>
      </w:r>
      <w:r w:rsidRPr="00734A7D">
        <w:rPr>
          <w:rFonts w:ascii="Times New Roman" w:hAnsi="Times New Roman" w:cs="Times New Roman"/>
          <w:sz w:val="24"/>
          <w:szCs w:val="24"/>
        </w:rPr>
        <w:t xml:space="preserve">PET tracer. Participants received an average dosage of 370 MBq (10 mCi) of </w:t>
      </w:r>
      <w:r w:rsidRPr="00734A7D">
        <w:rPr>
          <w:rFonts w:ascii="Times New Roman" w:hAnsi="Times New Roman" w:cs="Times New Roman"/>
          <w:sz w:val="24"/>
          <w:szCs w:val="24"/>
          <w:vertAlign w:val="superscript"/>
        </w:rPr>
        <w:t>18</w:t>
      </w:r>
      <w:r w:rsidR="000C52F9" w:rsidRPr="00734A7D">
        <w:rPr>
          <w:rFonts w:ascii="Times New Roman" w:hAnsi="Times New Roman" w:cs="Times New Roman"/>
          <w:sz w:val="24"/>
          <w:szCs w:val="24"/>
        </w:rPr>
        <w:t>F-f</w:t>
      </w:r>
      <w:r w:rsidRPr="00734A7D">
        <w:rPr>
          <w:rFonts w:ascii="Times New Roman" w:hAnsi="Times New Roman" w:cs="Times New Roman"/>
          <w:sz w:val="24"/>
          <w:szCs w:val="24"/>
        </w:rPr>
        <w:t>lorbetapir with 20 minutes (4x5min frames) acquisition at 50-70 minutes post-injection (for more information see http://adni.loni.usc.edu/methods/pet-analysis-method/pet-analysis/).</w:t>
      </w:r>
    </w:p>
    <w:p w14:paraId="37938BE4" w14:textId="77777777" w:rsidR="00712006" w:rsidRPr="00734A7D" w:rsidRDefault="00712006" w:rsidP="0093102E">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 xml:space="preserve">2.3 CSF measures </w:t>
      </w:r>
    </w:p>
    <w:p w14:paraId="326A6E17" w14:textId="5860B093" w:rsidR="00712006" w:rsidRPr="00734A7D" w:rsidRDefault="00712006" w:rsidP="0093102E">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Most participants underwent a lumbar puncture to measure baseline amyloid-beta 1-42 peptide (</w:t>
      </w:r>
      <w:r w:rsidR="00034972" w:rsidRPr="00734A7D">
        <w:rPr>
          <w:rFonts w:ascii="Times New Roman" w:hAnsi="Times New Roman" w:cs="Times New Roman"/>
          <w:sz w:val="24"/>
          <w:szCs w:val="24"/>
        </w:rPr>
        <w:t xml:space="preserve">CSF </w:t>
      </w:r>
      <w:r w:rsidRPr="00734A7D">
        <w:rPr>
          <w:rFonts w:ascii="Times New Roman" w:hAnsi="Times New Roman" w:cs="Times New Roman"/>
          <w:sz w:val="24"/>
          <w:szCs w:val="24"/>
        </w:rPr>
        <w:t>Aβ), total tau (</w:t>
      </w:r>
      <w:r w:rsidR="00034972" w:rsidRPr="00734A7D">
        <w:rPr>
          <w:rFonts w:ascii="Times New Roman" w:hAnsi="Times New Roman" w:cs="Times New Roman"/>
          <w:sz w:val="24"/>
          <w:szCs w:val="24"/>
        </w:rPr>
        <w:t xml:space="preserve">CSF </w:t>
      </w:r>
      <w:r w:rsidRPr="00734A7D">
        <w:rPr>
          <w:rFonts w:ascii="Times New Roman" w:hAnsi="Times New Roman" w:cs="Times New Roman"/>
          <w:sz w:val="24"/>
          <w:szCs w:val="24"/>
        </w:rPr>
        <w:t>t-tau), and tau phosphorylated at the threonine 181 (</w:t>
      </w:r>
      <w:r w:rsidR="00034972" w:rsidRPr="00734A7D">
        <w:rPr>
          <w:rFonts w:ascii="Times New Roman" w:hAnsi="Times New Roman" w:cs="Times New Roman"/>
          <w:sz w:val="24"/>
          <w:szCs w:val="24"/>
        </w:rPr>
        <w:t xml:space="preserve">CSF </w:t>
      </w:r>
      <w:r w:rsidRPr="00734A7D">
        <w:rPr>
          <w:rFonts w:ascii="Times New Roman" w:hAnsi="Times New Roman" w:cs="Times New Roman"/>
          <w:sz w:val="24"/>
          <w:szCs w:val="24"/>
        </w:rPr>
        <w:t xml:space="preserve">p-tau). Out of 286 participants, 228 had a CSF Aβ measure and 233 had a CSF t-tau </w:t>
      </w:r>
      <w:r w:rsidR="00241FE6" w:rsidRPr="00734A7D">
        <w:rPr>
          <w:rFonts w:ascii="Times New Roman" w:hAnsi="Times New Roman" w:cs="Times New Roman"/>
          <w:sz w:val="24"/>
          <w:szCs w:val="24"/>
        </w:rPr>
        <w:t>as well as a</w:t>
      </w:r>
      <w:r w:rsidRPr="00734A7D">
        <w:rPr>
          <w:rFonts w:ascii="Times New Roman" w:hAnsi="Times New Roman" w:cs="Times New Roman"/>
          <w:sz w:val="24"/>
          <w:szCs w:val="24"/>
        </w:rPr>
        <w:t>CSF p-tau measure. Lumbar puncture was performed with a 20-24-gauge spinal needle as described in the ADNI procedures manual (http://www.adni-info.org/).</w:t>
      </w:r>
      <w:r w:rsidRPr="00734A7D">
        <w:t xml:space="preserve"> </w:t>
      </w:r>
      <w:r w:rsidRPr="00734A7D">
        <w:rPr>
          <w:rFonts w:ascii="Times New Roman" w:hAnsi="Times New Roman" w:cs="Times New Roman"/>
          <w:sz w:val="24"/>
          <w:szCs w:val="24"/>
        </w:rPr>
        <w:t xml:space="preserve"> </w:t>
      </w:r>
    </w:p>
    <w:p w14:paraId="380E2E0A" w14:textId="77777777" w:rsidR="00712006" w:rsidRPr="00734A7D" w:rsidRDefault="00712006" w:rsidP="0093102E">
      <w:pPr>
        <w:spacing w:line="480" w:lineRule="auto"/>
        <w:rPr>
          <w:rFonts w:ascii="Times New Roman" w:hAnsi="Times New Roman" w:cs="Times New Roman"/>
          <w:sz w:val="24"/>
          <w:szCs w:val="24"/>
        </w:rPr>
      </w:pPr>
      <w:r w:rsidRPr="00734A7D">
        <w:rPr>
          <w:rFonts w:ascii="Times New Roman" w:hAnsi="Times New Roman" w:cs="Times New Roman"/>
          <w:b/>
          <w:bCs/>
          <w:sz w:val="24"/>
          <w:szCs w:val="24"/>
        </w:rPr>
        <w:t>2.4 Imaging data pre-processing</w:t>
      </w:r>
      <w:r w:rsidRPr="00734A7D">
        <w:rPr>
          <w:rFonts w:ascii="Times New Roman" w:hAnsi="Times New Roman" w:cs="Times New Roman"/>
          <w:sz w:val="24"/>
          <w:szCs w:val="24"/>
        </w:rPr>
        <w:t xml:space="preserve"> </w:t>
      </w:r>
    </w:p>
    <w:p w14:paraId="0682BA6E" w14:textId="77777777" w:rsidR="00241FE6" w:rsidRPr="00734A7D" w:rsidRDefault="00712006" w:rsidP="00055922">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PET data was pre-processed with Statistical Parametric Modeling 12 (SPM12, Wellcome Trust Center, www.fil.ion.ucl.ac.uk/spm) implemented in Matlab 2019b (Mathworks Inc., Sherborn, MA). All PET images were aligned to the anterior-posterior commissure and spatially normalized to the tissue probability map implemented in SPM12. Then, all images were smoothed with an 8 mm FWHM Gaussian filter, as this has been found </w:t>
      </w:r>
      <w:r w:rsidRPr="00734A7D">
        <w:rPr>
          <w:rFonts w:ascii="Times New Roman" w:hAnsi="Times New Roman" w:cs="Times New Roman"/>
          <w:sz w:val="24"/>
          <w:szCs w:val="24"/>
        </w:rPr>
        <w:lastRenderedPageBreak/>
        <w:t xml:space="preserve">to be an appropriate value to use </w:t>
      </w:r>
      <w:r w:rsidR="002C0483" w:rsidRPr="00734A7D">
        <w:rPr>
          <w:rFonts w:ascii="Times New Roman" w:hAnsi="Times New Roman" w:cs="Times New Roman"/>
          <w:sz w:val="24"/>
          <w:szCs w:val="24"/>
        </w:rPr>
        <w:t xml:space="preserve">(Tsutsui et al., 2018) </w:t>
      </w:r>
      <w:r w:rsidRPr="00734A7D">
        <w:rPr>
          <w:rFonts w:ascii="Times New Roman" w:hAnsi="Times New Roman" w:cs="Times New Roman"/>
          <w:sz w:val="24"/>
          <w:szCs w:val="24"/>
        </w:rPr>
        <w:t xml:space="preserve">and has been employed frequently in previous studies </w:t>
      </w:r>
      <w:r w:rsidR="002C0483" w:rsidRPr="00734A7D">
        <w:rPr>
          <w:rFonts w:ascii="Times New Roman" w:hAnsi="Times New Roman" w:cs="Times New Roman"/>
          <w:sz w:val="24"/>
          <w:szCs w:val="24"/>
        </w:rPr>
        <w:t>(</w:t>
      </w:r>
      <w:r w:rsidR="00B74CCC" w:rsidRPr="00734A7D">
        <w:rPr>
          <w:rFonts w:ascii="Times New Roman" w:hAnsi="Times New Roman" w:cs="Times New Roman"/>
          <w:sz w:val="24"/>
          <w:szCs w:val="24"/>
        </w:rPr>
        <w:t xml:space="preserve">Lin et al., 2016; </w:t>
      </w:r>
      <w:r w:rsidR="002C0483" w:rsidRPr="00734A7D">
        <w:rPr>
          <w:rFonts w:ascii="Times New Roman" w:hAnsi="Times New Roman" w:cs="Times New Roman"/>
          <w:sz w:val="24"/>
          <w:szCs w:val="24"/>
        </w:rPr>
        <w:t>Saint-Aubert et al., 2013; Teipel et al., 2015)</w:t>
      </w:r>
      <w:r w:rsidR="00055922" w:rsidRPr="00734A7D">
        <w:rPr>
          <w:rFonts w:ascii="Times New Roman" w:hAnsi="Times New Roman" w:cs="Times New Roman"/>
          <w:sz w:val="24"/>
          <w:szCs w:val="24"/>
        </w:rPr>
        <w:t>.</w:t>
      </w:r>
      <w:r w:rsidRPr="00734A7D">
        <w:rPr>
          <w:rFonts w:ascii="Times New Roman" w:hAnsi="Times New Roman" w:cs="Times New Roman"/>
          <w:sz w:val="24"/>
          <w:szCs w:val="24"/>
        </w:rPr>
        <w:t xml:space="preserve"> Lastly, </w:t>
      </w:r>
      <w:r w:rsidR="004B3E47" w:rsidRPr="00734A7D">
        <w:rPr>
          <w:rFonts w:ascii="Times New Roman" w:hAnsi="Times New Roman" w:cs="Times New Roman"/>
          <w:sz w:val="24"/>
          <w:szCs w:val="24"/>
        </w:rPr>
        <w:t>SUVRs</w:t>
      </w:r>
      <w:r w:rsidRPr="00734A7D">
        <w:rPr>
          <w:rFonts w:ascii="Times New Roman" w:hAnsi="Times New Roman" w:cs="Times New Roman"/>
          <w:sz w:val="24"/>
          <w:szCs w:val="24"/>
        </w:rPr>
        <w:t xml:space="preserve"> for the images were computed by using the whole </w:t>
      </w:r>
      <w:bookmarkStart w:id="3" w:name="_Hlk38011864"/>
      <w:r w:rsidR="00055922" w:rsidRPr="00734A7D">
        <w:rPr>
          <w:rFonts w:ascii="Times New Roman" w:hAnsi="Times New Roman" w:cs="Times New Roman"/>
          <w:sz w:val="24"/>
          <w:szCs w:val="24"/>
        </w:rPr>
        <w:t xml:space="preserve">cerebellum as reference region. </w:t>
      </w:r>
    </w:p>
    <w:p w14:paraId="72DA9B89" w14:textId="3B0E3A45" w:rsidR="00055922" w:rsidRPr="00734A7D" w:rsidRDefault="00D9243D" w:rsidP="00055922">
      <w:pPr>
        <w:spacing w:line="480" w:lineRule="auto"/>
        <w:ind w:firstLine="720"/>
        <w:rPr>
          <w:rFonts w:ascii="Times New Roman" w:hAnsi="Times New Roman" w:cs="Times New Roman"/>
          <w:i/>
          <w:iCs/>
          <w:sz w:val="24"/>
          <w:szCs w:val="24"/>
        </w:rPr>
      </w:pPr>
      <w:r w:rsidRPr="00734A7D">
        <w:rPr>
          <w:rFonts w:ascii="Times New Roman" w:hAnsi="Times New Roman" w:cs="Times New Roman"/>
          <w:iCs/>
          <w:sz w:val="24"/>
          <w:szCs w:val="24"/>
        </w:rPr>
        <w:t xml:space="preserve">A global Aβ score, previously published (details for pre-processing see Landau &amp; Jagust, 2015), was used, which was derived by taking the fully processed </w:t>
      </w:r>
      <w:r w:rsidR="00241FE6" w:rsidRPr="00734A7D">
        <w:rPr>
          <w:rFonts w:ascii="Times New Roman" w:hAnsi="Times New Roman" w:cs="Times New Roman"/>
          <w:sz w:val="24"/>
          <w:szCs w:val="24"/>
          <w:vertAlign w:val="superscript"/>
        </w:rPr>
        <w:t>18</w:t>
      </w:r>
      <w:r w:rsidR="00241FE6" w:rsidRPr="00734A7D">
        <w:rPr>
          <w:rFonts w:ascii="Times New Roman" w:hAnsi="Times New Roman" w:cs="Times New Roman"/>
          <w:sz w:val="24"/>
          <w:szCs w:val="24"/>
        </w:rPr>
        <w:t xml:space="preserve">F-florbetapir </w:t>
      </w:r>
      <w:r w:rsidRPr="00734A7D">
        <w:rPr>
          <w:rFonts w:ascii="Times New Roman" w:hAnsi="Times New Roman" w:cs="Times New Roman"/>
          <w:iCs/>
          <w:sz w:val="24"/>
          <w:szCs w:val="24"/>
        </w:rPr>
        <w:t xml:space="preserve">scans and co-registering and normalizing them to its corresponding MRI-image that was closest in time to that scan. All MRI images were skull-stripped, segmented, and delineated into cortical and subcortical regions. </w:t>
      </w:r>
      <w:r w:rsidR="00241FE6" w:rsidRPr="00734A7D">
        <w:rPr>
          <w:rFonts w:ascii="Times New Roman" w:hAnsi="Times New Roman" w:cs="Times New Roman"/>
          <w:sz w:val="24"/>
          <w:szCs w:val="24"/>
          <w:vertAlign w:val="superscript"/>
        </w:rPr>
        <w:t>18</w:t>
      </w:r>
      <w:r w:rsidR="00241FE6" w:rsidRPr="00734A7D">
        <w:rPr>
          <w:rFonts w:ascii="Times New Roman" w:hAnsi="Times New Roman" w:cs="Times New Roman"/>
          <w:sz w:val="24"/>
          <w:szCs w:val="24"/>
        </w:rPr>
        <w:t>F-florbetapir</w:t>
      </w:r>
      <w:r w:rsidRPr="00734A7D">
        <w:rPr>
          <w:rFonts w:ascii="Times New Roman" w:hAnsi="Times New Roman" w:cs="Times New Roman"/>
          <w:iCs/>
          <w:sz w:val="24"/>
          <w:szCs w:val="24"/>
        </w:rPr>
        <w:t xml:space="preserve"> SUVr means were extracted from grey matter in each subregion within four cortical regions (frontal, anterior/posterior cingulate, lateral parietal, and lateral temporal regions) using the whole cerebellum as reference region. Finally, a composite global </w:t>
      </w:r>
      <w:bookmarkStart w:id="4" w:name="_Hlk70496369"/>
      <w:r w:rsidRPr="00734A7D">
        <w:rPr>
          <w:rFonts w:ascii="Times New Roman" w:hAnsi="Times New Roman" w:cs="Times New Roman"/>
          <w:iCs/>
          <w:sz w:val="24"/>
          <w:szCs w:val="24"/>
        </w:rPr>
        <w:t>Aβ</w:t>
      </w:r>
      <w:bookmarkEnd w:id="4"/>
      <w:r w:rsidRPr="00734A7D">
        <w:rPr>
          <w:rFonts w:ascii="Times New Roman" w:hAnsi="Times New Roman" w:cs="Times New Roman"/>
          <w:iCs/>
          <w:sz w:val="24"/>
          <w:szCs w:val="24"/>
        </w:rPr>
        <w:t xml:space="preserve"> SUVr score was computed based on the four cortical regions.</w:t>
      </w:r>
    </w:p>
    <w:p w14:paraId="5D362B8B" w14:textId="5D612523" w:rsidR="00712006" w:rsidRPr="00734A7D" w:rsidRDefault="00712006" w:rsidP="00055922">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 xml:space="preserve">2.5 Statistical analysis </w:t>
      </w:r>
    </w:p>
    <w:p w14:paraId="1EDF6966" w14:textId="0ADA1DA0" w:rsidR="00933551" w:rsidRPr="00734A7D" w:rsidRDefault="00712006" w:rsidP="0093102E">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Non-parametric (i.e., Mann-Whitney-U-tests; Pearson-Chi-Square-tests) tests were performed to compare the groups on age, sex, years of education, Apolipoprotein E4 (APOE4) carriership, and baseline values of global Aβ burden, CSF Aβ, CSF t-tau, and CSF p-tau. To assess regional differences in Aβ burden between the stable and progressor groups, two-sample t-tests were performed in SPM12 comparing the CN-</w:t>
      </w:r>
      <w:r w:rsidR="00AB51E4" w:rsidRPr="00734A7D">
        <w:rPr>
          <w:rFonts w:ascii="Times New Roman" w:hAnsi="Times New Roman" w:cs="Times New Roman"/>
          <w:sz w:val="24"/>
          <w:szCs w:val="24"/>
        </w:rPr>
        <w:t>CN group against the CN-MCI/AD group and the MCI-MCI group against the MCI-AD</w:t>
      </w:r>
      <w:r w:rsidRPr="00734A7D">
        <w:rPr>
          <w:rFonts w:ascii="Times New Roman" w:hAnsi="Times New Roman" w:cs="Times New Roman"/>
          <w:sz w:val="24"/>
          <w:szCs w:val="24"/>
        </w:rPr>
        <w:t xml:space="preserve"> group, respectively. APOE4 carriership was entered as covariate. To reduce the number of voxel-wise comparisons, a brain mask with all regions of the AAL atlas</w:t>
      </w:r>
      <w:r w:rsidR="00AB51E4" w:rsidRPr="00734A7D">
        <w:rPr>
          <w:rFonts w:ascii="Times New Roman" w:hAnsi="Times New Roman" w:cs="Times New Roman"/>
          <w:sz w:val="24"/>
          <w:szCs w:val="24"/>
        </w:rPr>
        <w:t>,</w:t>
      </w:r>
      <w:r w:rsidRPr="00734A7D">
        <w:rPr>
          <w:rFonts w:ascii="Times New Roman" w:hAnsi="Times New Roman" w:cs="Times New Roman"/>
          <w:sz w:val="24"/>
          <w:szCs w:val="24"/>
        </w:rPr>
        <w:t xml:space="preserve"> except for the cerebellum</w:t>
      </w:r>
      <w:r w:rsidR="00AB51E4" w:rsidRPr="00734A7D">
        <w:rPr>
          <w:rFonts w:ascii="Times New Roman" w:hAnsi="Times New Roman" w:cs="Times New Roman"/>
          <w:sz w:val="24"/>
          <w:szCs w:val="24"/>
        </w:rPr>
        <w:t>,</w:t>
      </w:r>
      <w:r w:rsidRPr="00734A7D">
        <w:rPr>
          <w:rFonts w:ascii="Times New Roman" w:hAnsi="Times New Roman" w:cs="Times New Roman"/>
          <w:sz w:val="24"/>
          <w:szCs w:val="24"/>
        </w:rPr>
        <w:t xml:space="preserve"> was included in the analyses. Subsequently, significant regions were extracted </w:t>
      </w:r>
      <w:r w:rsidR="000D63FD" w:rsidRPr="00734A7D">
        <w:rPr>
          <w:rFonts w:ascii="Times New Roman" w:hAnsi="Times New Roman" w:cs="Times New Roman"/>
          <w:sz w:val="24"/>
          <w:szCs w:val="24"/>
        </w:rPr>
        <w:t>and s</w:t>
      </w:r>
      <w:r w:rsidR="003C0810" w:rsidRPr="00734A7D">
        <w:rPr>
          <w:rFonts w:ascii="Times New Roman" w:hAnsi="Times New Roman" w:cs="Times New Roman"/>
          <w:sz w:val="24"/>
          <w:szCs w:val="24"/>
        </w:rPr>
        <w:t>aved in a binarized format in M</w:t>
      </w:r>
      <w:r w:rsidR="000D63FD" w:rsidRPr="00734A7D">
        <w:rPr>
          <w:rFonts w:ascii="Times New Roman" w:hAnsi="Times New Roman" w:cs="Times New Roman"/>
          <w:sz w:val="24"/>
          <w:szCs w:val="24"/>
        </w:rPr>
        <w:t>NI space. SUVRs of all participants were extracted from these regions a</w:t>
      </w:r>
      <w:r w:rsidRPr="00734A7D">
        <w:rPr>
          <w:rFonts w:ascii="Times New Roman" w:hAnsi="Times New Roman" w:cs="Times New Roman"/>
          <w:sz w:val="24"/>
          <w:szCs w:val="24"/>
        </w:rPr>
        <w:t xml:space="preserve">nd the overall mean across regions was computed. </w:t>
      </w:r>
      <w:bookmarkStart w:id="5" w:name="_Hlk70429288"/>
      <w:r w:rsidRPr="00734A7D">
        <w:rPr>
          <w:rFonts w:ascii="Times New Roman" w:hAnsi="Times New Roman" w:cs="Times New Roman"/>
          <w:sz w:val="24"/>
          <w:szCs w:val="24"/>
        </w:rPr>
        <w:t xml:space="preserve">Binary logistic regression analyses were performed to quantify the effect of regional Aβ burden over </w:t>
      </w:r>
      <w:r w:rsidR="00FF76E5" w:rsidRPr="00734A7D">
        <w:rPr>
          <w:rFonts w:ascii="Times New Roman" w:hAnsi="Times New Roman" w:cs="Times New Roman"/>
          <w:sz w:val="24"/>
          <w:szCs w:val="24"/>
        </w:rPr>
        <w:t>all other variables</w:t>
      </w:r>
      <w:r w:rsidR="002D0E0F" w:rsidRPr="00734A7D">
        <w:rPr>
          <w:rFonts w:ascii="Times New Roman" w:hAnsi="Times New Roman" w:cs="Times New Roman"/>
          <w:sz w:val="24"/>
          <w:szCs w:val="24"/>
        </w:rPr>
        <w:t xml:space="preserve"> of interest</w:t>
      </w:r>
      <w:r w:rsidR="00FF76E5" w:rsidRPr="00734A7D">
        <w:rPr>
          <w:rFonts w:ascii="Times New Roman" w:hAnsi="Times New Roman" w:cs="Times New Roman"/>
          <w:sz w:val="24"/>
          <w:szCs w:val="24"/>
        </w:rPr>
        <w:t xml:space="preserve"> (age, sex, </w:t>
      </w:r>
      <w:r w:rsidR="00FF76E5" w:rsidRPr="00734A7D">
        <w:rPr>
          <w:rFonts w:ascii="Times New Roman" w:hAnsi="Times New Roman" w:cs="Times New Roman"/>
          <w:sz w:val="24"/>
          <w:szCs w:val="24"/>
        </w:rPr>
        <w:lastRenderedPageBreak/>
        <w:t xml:space="preserve">education, </w:t>
      </w:r>
      <w:r w:rsidR="00933551" w:rsidRPr="00734A7D">
        <w:rPr>
          <w:rFonts w:ascii="Times New Roman" w:hAnsi="Times New Roman" w:cs="Times New Roman"/>
          <w:sz w:val="24"/>
          <w:szCs w:val="24"/>
        </w:rPr>
        <w:t xml:space="preserve">APOE4 carriership, global Aβ burden, and all three CSF measures) </w:t>
      </w:r>
      <w:r w:rsidRPr="00734A7D">
        <w:rPr>
          <w:rFonts w:ascii="Times New Roman" w:hAnsi="Times New Roman" w:cs="Times New Roman"/>
          <w:sz w:val="24"/>
          <w:szCs w:val="24"/>
        </w:rPr>
        <w:t xml:space="preserve">in the prediction of progression. </w:t>
      </w:r>
      <w:r w:rsidR="00933551" w:rsidRPr="00734A7D">
        <w:rPr>
          <w:rFonts w:ascii="Times New Roman" w:hAnsi="Times New Roman" w:cs="Times New Roman"/>
          <w:sz w:val="24"/>
          <w:szCs w:val="24"/>
        </w:rPr>
        <w:t xml:space="preserve">For this, all predictor variables were entered simultaneously into the </w:t>
      </w:r>
      <w:r w:rsidR="0075483D" w:rsidRPr="00734A7D">
        <w:rPr>
          <w:rFonts w:ascii="Times New Roman" w:hAnsi="Times New Roman" w:cs="Times New Roman"/>
          <w:sz w:val="24"/>
          <w:szCs w:val="24"/>
        </w:rPr>
        <w:t xml:space="preserve">regression </w:t>
      </w:r>
      <w:r w:rsidR="00933551" w:rsidRPr="00734A7D">
        <w:rPr>
          <w:rFonts w:ascii="Times New Roman" w:hAnsi="Times New Roman" w:cs="Times New Roman"/>
          <w:sz w:val="24"/>
          <w:szCs w:val="24"/>
        </w:rPr>
        <w:t xml:space="preserve">model together with regional Aβ burden. </w:t>
      </w:r>
      <w:bookmarkEnd w:id="5"/>
    </w:p>
    <w:p w14:paraId="02315009" w14:textId="42DEC3F5" w:rsidR="00712006" w:rsidRPr="00734A7D" w:rsidRDefault="00712006" w:rsidP="0093102E">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To assess whether regional Aβ burden extracted from one of the respective groups (CN or MCI) is predictive of progression in the other group, additional logistic regression analyses were performed, including the mean regional SUVRs from the other respective groups and all other predictors from the previous analyses. </w:t>
      </w:r>
      <w:bookmarkStart w:id="6" w:name="_Hlk46228495"/>
      <w:r w:rsidR="008D5BB8" w:rsidRPr="00734A7D">
        <w:rPr>
          <w:rFonts w:ascii="Times New Roman" w:hAnsi="Times New Roman" w:cs="Times New Roman"/>
          <w:sz w:val="24"/>
          <w:szCs w:val="24"/>
        </w:rPr>
        <w:t xml:space="preserve">Again, all predictor variables were entered in the regression model simultaneously. </w:t>
      </w:r>
      <w:r w:rsidRPr="00734A7D">
        <w:rPr>
          <w:rFonts w:ascii="Times New Roman" w:hAnsi="Times New Roman" w:cs="Times New Roman"/>
          <w:sz w:val="24"/>
          <w:szCs w:val="24"/>
        </w:rPr>
        <w:t xml:space="preserve">For the CN-CN vs. CN-MCI/AD groups, 27 </w:t>
      </w:r>
      <w:r w:rsidR="00C7277E" w:rsidRPr="00734A7D">
        <w:rPr>
          <w:rFonts w:ascii="Times New Roman" w:hAnsi="Times New Roman" w:cs="Times New Roman"/>
          <w:sz w:val="24"/>
          <w:szCs w:val="24"/>
        </w:rPr>
        <w:t>progressor</w:t>
      </w:r>
      <w:r w:rsidR="008E1B0B" w:rsidRPr="00734A7D">
        <w:rPr>
          <w:rFonts w:ascii="Times New Roman" w:hAnsi="Times New Roman" w:cs="Times New Roman"/>
          <w:sz w:val="24"/>
          <w:szCs w:val="24"/>
        </w:rPr>
        <w:t>s</w:t>
      </w:r>
      <w:r w:rsidRPr="00734A7D">
        <w:rPr>
          <w:rFonts w:ascii="Times New Roman" w:hAnsi="Times New Roman" w:cs="Times New Roman"/>
          <w:sz w:val="24"/>
          <w:szCs w:val="24"/>
        </w:rPr>
        <w:t xml:space="preserve"> and 28 stables were included in the analyses due to missing </w:t>
      </w:r>
      <w:r w:rsidR="00B00E33" w:rsidRPr="00734A7D">
        <w:rPr>
          <w:rFonts w:ascii="Times New Roman" w:hAnsi="Times New Roman" w:cs="Times New Roman"/>
          <w:sz w:val="24"/>
          <w:szCs w:val="24"/>
        </w:rPr>
        <w:t>data points</w:t>
      </w:r>
      <w:r w:rsidRPr="00734A7D">
        <w:rPr>
          <w:rFonts w:ascii="Times New Roman" w:hAnsi="Times New Roman" w:cs="Times New Roman"/>
          <w:sz w:val="24"/>
          <w:szCs w:val="24"/>
        </w:rPr>
        <w:t xml:space="preserve"> for some variables, while for the MCI-MCI vs. MCI-AD groups, 74</w:t>
      </w:r>
      <w:r w:rsidR="008E1B0B" w:rsidRPr="00734A7D">
        <w:rPr>
          <w:rFonts w:ascii="Times New Roman" w:hAnsi="Times New Roman" w:cs="Times New Roman"/>
          <w:sz w:val="24"/>
          <w:szCs w:val="24"/>
        </w:rPr>
        <w:t xml:space="preserve"> </w:t>
      </w:r>
      <w:r w:rsidR="00C7277E" w:rsidRPr="00734A7D">
        <w:rPr>
          <w:rFonts w:ascii="Times New Roman" w:hAnsi="Times New Roman" w:cs="Times New Roman"/>
          <w:sz w:val="24"/>
          <w:szCs w:val="24"/>
        </w:rPr>
        <w:t>progressors</w:t>
      </w:r>
      <w:r w:rsidRPr="00734A7D">
        <w:rPr>
          <w:rFonts w:ascii="Times New Roman" w:hAnsi="Times New Roman" w:cs="Times New Roman"/>
          <w:sz w:val="24"/>
          <w:szCs w:val="24"/>
        </w:rPr>
        <w:t xml:space="preserve"> and 99 stables were included. </w:t>
      </w:r>
      <w:bookmarkEnd w:id="6"/>
      <w:r w:rsidRPr="00734A7D">
        <w:rPr>
          <w:rFonts w:ascii="Times New Roman" w:hAnsi="Times New Roman" w:cs="Times New Roman"/>
          <w:sz w:val="24"/>
          <w:szCs w:val="24"/>
        </w:rPr>
        <w:t>Finally, multinomial logistic regression analys</w:t>
      </w:r>
      <w:r w:rsidR="007E138E" w:rsidRPr="00734A7D">
        <w:rPr>
          <w:rFonts w:ascii="Times New Roman" w:hAnsi="Times New Roman" w:cs="Times New Roman"/>
          <w:sz w:val="24"/>
          <w:szCs w:val="24"/>
        </w:rPr>
        <w:t>e</w:t>
      </w:r>
      <w:r w:rsidRPr="00734A7D">
        <w:rPr>
          <w:rFonts w:ascii="Times New Roman" w:hAnsi="Times New Roman" w:cs="Times New Roman"/>
          <w:sz w:val="24"/>
          <w:szCs w:val="24"/>
        </w:rPr>
        <w:t>s w</w:t>
      </w:r>
      <w:r w:rsidR="007E138E" w:rsidRPr="00734A7D">
        <w:rPr>
          <w:rFonts w:ascii="Times New Roman" w:hAnsi="Times New Roman" w:cs="Times New Roman"/>
          <w:sz w:val="24"/>
          <w:szCs w:val="24"/>
        </w:rPr>
        <w:t>ere</w:t>
      </w:r>
      <w:r w:rsidRPr="00734A7D">
        <w:rPr>
          <w:rFonts w:ascii="Times New Roman" w:hAnsi="Times New Roman" w:cs="Times New Roman"/>
          <w:sz w:val="24"/>
          <w:szCs w:val="24"/>
        </w:rPr>
        <w:t xml:space="preserve"> performed comparing fast against slow </w:t>
      </w:r>
      <w:r w:rsidR="00C7277E" w:rsidRPr="00734A7D">
        <w:rPr>
          <w:rFonts w:ascii="Times New Roman" w:hAnsi="Times New Roman" w:cs="Times New Roman"/>
          <w:sz w:val="24"/>
          <w:szCs w:val="24"/>
        </w:rPr>
        <w:t>progressors</w:t>
      </w:r>
      <w:r w:rsidRPr="00734A7D">
        <w:rPr>
          <w:rFonts w:ascii="Times New Roman" w:hAnsi="Times New Roman" w:cs="Times New Roman"/>
          <w:sz w:val="24"/>
          <w:szCs w:val="24"/>
        </w:rPr>
        <w:t xml:space="preserve"> in </w:t>
      </w:r>
      <w:r w:rsidR="007E138E" w:rsidRPr="00734A7D">
        <w:rPr>
          <w:rFonts w:ascii="Times New Roman" w:hAnsi="Times New Roman" w:cs="Times New Roman"/>
          <w:sz w:val="24"/>
          <w:szCs w:val="24"/>
        </w:rPr>
        <w:t xml:space="preserve">both </w:t>
      </w:r>
      <w:r w:rsidRPr="00734A7D">
        <w:rPr>
          <w:rFonts w:ascii="Times New Roman" w:hAnsi="Times New Roman" w:cs="Times New Roman"/>
          <w:sz w:val="24"/>
          <w:szCs w:val="24"/>
        </w:rPr>
        <w:t xml:space="preserve">the CN-MCI/AD group </w:t>
      </w:r>
      <w:r w:rsidR="007E138E" w:rsidRPr="00734A7D">
        <w:rPr>
          <w:rFonts w:ascii="Times New Roman" w:hAnsi="Times New Roman" w:cs="Times New Roman"/>
          <w:sz w:val="24"/>
          <w:szCs w:val="24"/>
        </w:rPr>
        <w:t xml:space="preserve">and the MCI-AD group, respectively </w:t>
      </w:r>
      <w:r w:rsidRPr="00734A7D">
        <w:rPr>
          <w:rFonts w:ascii="Times New Roman" w:hAnsi="Times New Roman" w:cs="Times New Roman"/>
          <w:sz w:val="24"/>
          <w:szCs w:val="24"/>
        </w:rPr>
        <w:t xml:space="preserve">(see </w:t>
      </w:r>
      <w:r w:rsidR="00B64BEA" w:rsidRPr="00734A7D">
        <w:rPr>
          <w:rFonts w:ascii="Times New Roman" w:hAnsi="Times New Roman" w:cs="Times New Roman"/>
          <w:sz w:val="24"/>
          <w:szCs w:val="24"/>
        </w:rPr>
        <w:t>Appendix A</w:t>
      </w:r>
      <w:r w:rsidR="00B31299" w:rsidRPr="00734A7D">
        <w:rPr>
          <w:rFonts w:ascii="Times New Roman" w:hAnsi="Times New Roman" w:cs="Times New Roman"/>
          <w:sz w:val="24"/>
          <w:szCs w:val="24"/>
        </w:rPr>
        <w:t>1, Tables A1-</w:t>
      </w:r>
      <w:r w:rsidR="00DC7B4B" w:rsidRPr="00734A7D">
        <w:rPr>
          <w:rFonts w:ascii="Times New Roman" w:hAnsi="Times New Roman" w:cs="Times New Roman"/>
          <w:sz w:val="24"/>
          <w:szCs w:val="24"/>
        </w:rPr>
        <w:t>3</w:t>
      </w:r>
      <w:r w:rsidRPr="00734A7D">
        <w:rPr>
          <w:rFonts w:ascii="Times New Roman" w:hAnsi="Times New Roman" w:cs="Times New Roman"/>
          <w:sz w:val="24"/>
          <w:szCs w:val="24"/>
        </w:rPr>
        <w:t>). All analyses were performed using SPSS 25.0.</w:t>
      </w:r>
    </w:p>
    <w:p w14:paraId="38D82942" w14:textId="77777777" w:rsidR="00712006" w:rsidRPr="00734A7D" w:rsidRDefault="00712006" w:rsidP="00903ED3">
      <w:pPr>
        <w:pStyle w:val="Listenabsatz"/>
        <w:numPr>
          <w:ilvl w:val="1"/>
          <w:numId w:val="1"/>
        </w:num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Sensitivity analysis</w:t>
      </w:r>
    </w:p>
    <w:p w14:paraId="57B3A776" w14:textId="52C9B80C" w:rsidR="00712006" w:rsidRPr="00734A7D" w:rsidRDefault="00712006" w:rsidP="0093102E">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To investigate whether the matching procedure based on follow-up timepoints (i.e. MCI-MCI with 2 years follow-up was matched to MCI-AD with 2 years follow-up) might have influenced our analyses, a sensitivity analysis was performed. For this, participants in the stable groups (CN-CN and MCI-MCI) were selected if they were stable for at least four years, while participants in the progressor groups (CN-MCI/AD and MCI-MCI) were selected if they progressed within 3 years </w:t>
      </w:r>
      <w:r w:rsidR="002D0E0F" w:rsidRPr="00734A7D">
        <w:rPr>
          <w:rFonts w:ascii="Times New Roman" w:hAnsi="Times New Roman" w:cs="Times New Roman"/>
          <w:sz w:val="24"/>
          <w:szCs w:val="24"/>
        </w:rPr>
        <w:t xml:space="preserve">of </w:t>
      </w:r>
      <w:r w:rsidRPr="00734A7D">
        <w:rPr>
          <w:rFonts w:ascii="Times New Roman" w:hAnsi="Times New Roman" w:cs="Times New Roman"/>
          <w:sz w:val="24"/>
          <w:szCs w:val="24"/>
        </w:rPr>
        <w:t xml:space="preserve">the </w:t>
      </w:r>
      <w:r w:rsidRPr="00734A7D">
        <w:rPr>
          <w:rFonts w:ascii="Times New Roman" w:hAnsi="Times New Roman" w:cs="Times New Roman"/>
          <w:sz w:val="24"/>
          <w:szCs w:val="24"/>
          <w:vertAlign w:val="superscript"/>
        </w:rPr>
        <w:t>18</w:t>
      </w:r>
      <w:r w:rsidRPr="00734A7D">
        <w:rPr>
          <w:rFonts w:ascii="Times New Roman" w:hAnsi="Times New Roman" w:cs="Times New Roman"/>
          <w:sz w:val="24"/>
          <w:szCs w:val="24"/>
        </w:rPr>
        <w:t>F-Florpetapir PET</w:t>
      </w:r>
      <w:r w:rsidR="002D0E0F" w:rsidRPr="00734A7D">
        <w:rPr>
          <w:rFonts w:ascii="Times New Roman" w:hAnsi="Times New Roman" w:cs="Times New Roman"/>
          <w:sz w:val="24"/>
          <w:szCs w:val="24"/>
        </w:rPr>
        <w:t xml:space="preserve"> baseline</w:t>
      </w:r>
      <w:r w:rsidRPr="00734A7D">
        <w:rPr>
          <w:rFonts w:ascii="Times New Roman" w:hAnsi="Times New Roman" w:cs="Times New Roman"/>
          <w:sz w:val="24"/>
          <w:szCs w:val="24"/>
        </w:rPr>
        <w:t xml:space="preserve"> scan. The follow-up time periods were chosen to maximize time and group size. The approach mimicked the analysis described in 2.5 (see </w:t>
      </w:r>
      <w:r w:rsidR="00B64BEA" w:rsidRPr="00734A7D">
        <w:rPr>
          <w:rFonts w:ascii="Times New Roman" w:hAnsi="Times New Roman" w:cs="Times New Roman"/>
          <w:sz w:val="24"/>
          <w:szCs w:val="24"/>
        </w:rPr>
        <w:t xml:space="preserve">Appendix </w:t>
      </w:r>
      <w:r w:rsidR="008D2D97" w:rsidRPr="00734A7D">
        <w:rPr>
          <w:rFonts w:ascii="Times New Roman" w:hAnsi="Times New Roman" w:cs="Times New Roman"/>
          <w:sz w:val="24"/>
          <w:szCs w:val="24"/>
        </w:rPr>
        <w:t>B1</w:t>
      </w:r>
      <w:r w:rsidR="00B31299" w:rsidRPr="00734A7D">
        <w:rPr>
          <w:rFonts w:ascii="Times New Roman" w:hAnsi="Times New Roman" w:cs="Times New Roman"/>
          <w:sz w:val="24"/>
          <w:szCs w:val="24"/>
        </w:rPr>
        <w:t xml:space="preserve">, Table </w:t>
      </w:r>
      <w:r w:rsidR="008D2D97" w:rsidRPr="00734A7D">
        <w:rPr>
          <w:rFonts w:ascii="Times New Roman" w:hAnsi="Times New Roman" w:cs="Times New Roman"/>
          <w:sz w:val="24"/>
          <w:szCs w:val="24"/>
        </w:rPr>
        <w:t>B1</w:t>
      </w:r>
      <w:r w:rsidR="00B31299" w:rsidRPr="00734A7D">
        <w:rPr>
          <w:rFonts w:ascii="Times New Roman" w:hAnsi="Times New Roman" w:cs="Times New Roman"/>
          <w:sz w:val="24"/>
          <w:szCs w:val="24"/>
        </w:rPr>
        <w:t xml:space="preserve">, Figure </w:t>
      </w:r>
      <w:r w:rsidR="008D2D97" w:rsidRPr="00734A7D">
        <w:rPr>
          <w:rFonts w:ascii="Times New Roman" w:hAnsi="Times New Roman" w:cs="Times New Roman"/>
          <w:sz w:val="24"/>
          <w:szCs w:val="24"/>
        </w:rPr>
        <w:t>B</w:t>
      </w:r>
      <w:r w:rsidR="00B31299" w:rsidRPr="00734A7D">
        <w:rPr>
          <w:rFonts w:ascii="Times New Roman" w:hAnsi="Times New Roman" w:cs="Times New Roman"/>
          <w:sz w:val="24"/>
          <w:szCs w:val="24"/>
        </w:rPr>
        <w:t>1</w:t>
      </w:r>
      <w:r w:rsidRPr="00734A7D">
        <w:rPr>
          <w:rFonts w:ascii="Times New Roman" w:hAnsi="Times New Roman" w:cs="Times New Roman"/>
          <w:sz w:val="24"/>
          <w:szCs w:val="24"/>
        </w:rPr>
        <w:t>).</w:t>
      </w:r>
    </w:p>
    <w:p w14:paraId="773FF420" w14:textId="6C79DCA7" w:rsidR="00543D97" w:rsidRPr="00734A7D" w:rsidRDefault="00543D97" w:rsidP="0093102E">
      <w:pPr>
        <w:spacing w:line="480" w:lineRule="auto"/>
        <w:ind w:firstLine="720"/>
        <w:rPr>
          <w:rFonts w:ascii="Times New Roman" w:hAnsi="Times New Roman" w:cs="Times New Roman"/>
          <w:sz w:val="24"/>
          <w:szCs w:val="24"/>
        </w:rPr>
      </w:pPr>
    </w:p>
    <w:p w14:paraId="1A12F499" w14:textId="17FF4E91" w:rsidR="00543D97" w:rsidRPr="00734A7D" w:rsidRDefault="00543D97" w:rsidP="0093102E">
      <w:pPr>
        <w:spacing w:line="480" w:lineRule="auto"/>
        <w:ind w:firstLine="720"/>
        <w:rPr>
          <w:rFonts w:ascii="Times New Roman" w:hAnsi="Times New Roman" w:cs="Times New Roman"/>
          <w:sz w:val="24"/>
          <w:szCs w:val="24"/>
        </w:rPr>
      </w:pPr>
    </w:p>
    <w:bookmarkEnd w:id="3"/>
    <w:p w14:paraId="222C4C96" w14:textId="77777777" w:rsidR="00712006" w:rsidRPr="00734A7D" w:rsidRDefault="00712006" w:rsidP="00712006">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lastRenderedPageBreak/>
        <w:t>3. RESULTS</w:t>
      </w:r>
    </w:p>
    <w:p w14:paraId="1882CD7E" w14:textId="77777777" w:rsidR="00712006" w:rsidRPr="00734A7D" w:rsidRDefault="00712006" w:rsidP="00712006">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3.1 Group characteristics</w:t>
      </w:r>
    </w:p>
    <w:p w14:paraId="30EFA6FA" w14:textId="2B149E90" w:rsidR="00712006" w:rsidRPr="00734A7D" w:rsidRDefault="00712006" w:rsidP="00712006">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Mean and standard deviations are reported (Table 1). At baseline, the CN-CN and CN-MCI/AD group</w:t>
      </w:r>
      <w:r w:rsidR="00263004" w:rsidRPr="00734A7D">
        <w:rPr>
          <w:rFonts w:ascii="Times New Roman" w:hAnsi="Times New Roman" w:cs="Times New Roman"/>
          <w:sz w:val="24"/>
          <w:szCs w:val="24"/>
        </w:rPr>
        <w:t>s</w:t>
      </w:r>
      <w:r w:rsidRPr="00734A7D">
        <w:rPr>
          <w:rFonts w:ascii="Times New Roman" w:hAnsi="Times New Roman" w:cs="Times New Roman"/>
          <w:sz w:val="24"/>
          <w:szCs w:val="24"/>
        </w:rPr>
        <w:t xml:space="preserve"> were of similar age, years of education, ratio of females to males, CSF Aβ, CSF t-tau, and CSF p-tau. The MCI-MCI and MCI-AD group</w:t>
      </w:r>
      <w:r w:rsidR="00263004" w:rsidRPr="00734A7D">
        <w:rPr>
          <w:rFonts w:ascii="Times New Roman" w:hAnsi="Times New Roman" w:cs="Times New Roman"/>
          <w:sz w:val="24"/>
          <w:szCs w:val="24"/>
        </w:rPr>
        <w:t>s</w:t>
      </w:r>
      <w:r w:rsidRPr="00734A7D">
        <w:rPr>
          <w:rFonts w:ascii="Times New Roman" w:hAnsi="Times New Roman" w:cs="Times New Roman"/>
          <w:sz w:val="24"/>
          <w:szCs w:val="24"/>
        </w:rPr>
        <w:t xml:space="preserve"> were of similar age, years of education, and ratio of females to males. The CN-MCI/AD group showed a higher global Aβ burden at baseline than the CN-CN group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 .009). The CN-CN group showed</w:t>
      </w:r>
      <w:r w:rsidR="006470E2" w:rsidRPr="00734A7D">
        <w:rPr>
          <w:rFonts w:ascii="Times New Roman" w:hAnsi="Times New Roman" w:cs="Times New Roman"/>
          <w:sz w:val="24"/>
          <w:szCs w:val="24"/>
        </w:rPr>
        <w:t xml:space="preserve"> an</w:t>
      </w:r>
      <w:r w:rsidRPr="00734A7D">
        <w:rPr>
          <w:rFonts w:ascii="Times New Roman" w:hAnsi="Times New Roman" w:cs="Times New Roman"/>
          <w:sz w:val="24"/>
          <w:szCs w:val="24"/>
        </w:rPr>
        <w:t xml:space="preserve"> </w:t>
      </w:r>
      <w:r w:rsidR="006470E2" w:rsidRPr="00734A7D">
        <w:rPr>
          <w:rFonts w:ascii="Times New Roman" w:hAnsi="Times New Roman" w:cs="Times New Roman"/>
          <w:sz w:val="24"/>
          <w:szCs w:val="24"/>
        </w:rPr>
        <w:t xml:space="preserve">increased number of months of clinical stability </w:t>
      </w:r>
      <w:r w:rsidRPr="00734A7D">
        <w:rPr>
          <w:rFonts w:ascii="Times New Roman" w:hAnsi="Times New Roman" w:cs="Times New Roman"/>
          <w:sz w:val="24"/>
          <w:szCs w:val="24"/>
        </w:rPr>
        <w:t>(</w:t>
      </w:r>
      <w:r w:rsidR="005016E3" w:rsidRPr="00734A7D">
        <w:rPr>
          <w:rFonts w:ascii="Times New Roman" w:hAnsi="Times New Roman" w:cs="Times New Roman"/>
          <w:i/>
          <w:sz w:val="24"/>
          <w:szCs w:val="24"/>
        </w:rPr>
        <w:t>M</w:t>
      </w:r>
      <w:r w:rsidR="00D064B3" w:rsidRPr="00734A7D">
        <w:rPr>
          <w:rFonts w:ascii="Times New Roman" w:hAnsi="Times New Roman" w:cs="Times New Roman"/>
          <w:i/>
          <w:sz w:val="24"/>
          <w:szCs w:val="24"/>
          <w:vertAlign w:val="subscript"/>
        </w:rPr>
        <w:t>CN-CN</w:t>
      </w:r>
      <w:r w:rsidR="00D064B3" w:rsidRPr="00734A7D">
        <w:rPr>
          <w:rFonts w:ascii="Times New Roman" w:hAnsi="Times New Roman" w:cs="Times New Roman"/>
          <w:i/>
          <w:sz w:val="24"/>
          <w:szCs w:val="24"/>
        </w:rPr>
        <w:t xml:space="preserve"> = </w:t>
      </w:r>
      <w:r w:rsidR="00D064B3" w:rsidRPr="00734A7D">
        <w:rPr>
          <w:rFonts w:ascii="Times New Roman" w:hAnsi="Times New Roman" w:cs="Times New Roman"/>
          <w:sz w:val="24"/>
          <w:szCs w:val="24"/>
        </w:rPr>
        <w:t>60.32</w:t>
      </w:r>
      <w:r w:rsidR="006470E2" w:rsidRPr="00734A7D">
        <w:rPr>
          <w:rFonts w:ascii="Times New Roman" w:hAnsi="Times New Roman" w:cs="Times New Roman"/>
          <w:sz w:val="24"/>
          <w:szCs w:val="24"/>
        </w:rPr>
        <w:t>,</w:t>
      </w:r>
      <w:r w:rsidR="00D064B3" w:rsidRPr="00734A7D">
        <w:rPr>
          <w:rFonts w:ascii="Times New Roman" w:hAnsi="Times New Roman" w:cs="Times New Roman"/>
          <w:sz w:val="24"/>
          <w:szCs w:val="24"/>
        </w:rPr>
        <w:t xml:space="preserve"> </w:t>
      </w:r>
      <w:r w:rsidR="00D064B3" w:rsidRPr="00734A7D">
        <w:rPr>
          <w:rFonts w:ascii="Times New Roman" w:hAnsi="Times New Roman" w:cs="Times New Roman"/>
          <w:i/>
          <w:sz w:val="24"/>
          <w:szCs w:val="24"/>
        </w:rPr>
        <w:t>M</w:t>
      </w:r>
      <w:r w:rsidR="00D064B3" w:rsidRPr="00734A7D">
        <w:rPr>
          <w:rFonts w:ascii="Times New Roman" w:hAnsi="Times New Roman" w:cs="Times New Roman"/>
          <w:sz w:val="24"/>
          <w:szCs w:val="24"/>
          <w:vertAlign w:val="subscript"/>
        </w:rPr>
        <w:t>CN-MCI/AD</w:t>
      </w:r>
      <w:r w:rsidR="00D064B3" w:rsidRPr="00734A7D">
        <w:rPr>
          <w:rFonts w:ascii="Times New Roman" w:hAnsi="Times New Roman" w:cs="Times New Roman"/>
          <w:sz w:val="24"/>
          <w:szCs w:val="24"/>
        </w:rPr>
        <w:t xml:space="preserve"> = 28.84,</w:t>
      </w:r>
      <w:r w:rsidR="006470E2" w:rsidRPr="00734A7D">
        <w:rPr>
          <w:rFonts w:ascii="Times New Roman" w:hAnsi="Times New Roman" w:cs="Times New Roman"/>
          <w:sz w:val="24"/>
          <w:szCs w:val="24"/>
        </w:rPr>
        <w:t xml:space="preserve">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&lt; .001) and included more APOE4-negative individuals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 .002) than the CN-MCI/AD group. Similarly, the MCI-MCI group included more APOE</w:t>
      </w:r>
      <w:bookmarkStart w:id="7" w:name="_Hlk43744403"/>
      <w:r w:rsidRPr="00734A7D">
        <w:rPr>
          <w:rFonts w:ascii="Times New Roman" w:hAnsi="Times New Roman" w:cs="Times New Roman"/>
          <w:sz w:val="24"/>
          <w:szCs w:val="24"/>
        </w:rPr>
        <w:t>-negative individuals than the MCI-AD group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 .026). The MCI-AD group showed</w:t>
      </w:r>
      <w:r w:rsidR="006470E2" w:rsidRPr="00734A7D">
        <w:rPr>
          <w:rFonts w:ascii="Times New Roman" w:hAnsi="Times New Roman" w:cs="Times New Roman"/>
          <w:sz w:val="24"/>
          <w:szCs w:val="24"/>
        </w:rPr>
        <w:t xml:space="preserve"> a reduced number of months of clinical stability </w:t>
      </w:r>
      <w:r w:rsidRPr="00734A7D">
        <w:rPr>
          <w:rFonts w:ascii="Times New Roman" w:hAnsi="Times New Roman" w:cs="Times New Roman"/>
          <w:sz w:val="24"/>
          <w:szCs w:val="24"/>
        </w:rPr>
        <w:t>(</w:t>
      </w:r>
      <w:r w:rsidR="006470E2" w:rsidRPr="00734A7D">
        <w:rPr>
          <w:rFonts w:ascii="Times New Roman" w:hAnsi="Times New Roman" w:cs="Times New Roman"/>
          <w:i/>
          <w:sz w:val="24"/>
          <w:szCs w:val="24"/>
        </w:rPr>
        <w:t>M</w:t>
      </w:r>
      <w:r w:rsidR="00D064B3" w:rsidRPr="00734A7D">
        <w:rPr>
          <w:rFonts w:ascii="Times New Roman" w:hAnsi="Times New Roman" w:cs="Times New Roman"/>
          <w:i/>
          <w:sz w:val="24"/>
          <w:szCs w:val="24"/>
          <w:vertAlign w:val="subscript"/>
        </w:rPr>
        <w:t>MCI-MCI</w:t>
      </w:r>
      <w:r w:rsidR="00D064B3" w:rsidRPr="00734A7D">
        <w:rPr>
          <w:rFonts w:ascii="Times New Roman" w:hAnsi="Times New Roman" w:cs="Times New Roman"/>
          <w:i/>
          <w:sz w:val="24"/>
          <w:szCs w:val="24"/>
        </w:rPr>
        <w:t xml:space="preserve"> =</w:t>
      </w:r>
      <w:r w:rsidR="006470E2" w:rsidRPr="00734A7D">
        <w:rPr>
          <w:rFonts w:ascii="Times New Roman" w:hAnsi="Times New Roman" w:cs="Times New Roman"/>
          <w:sz w:val="24"/>
          <w:szCs w:val="24"/>
        </w:rPr>
        <w:t xml:space="preserve"> </w:t>
      </w:r>
      <w:r w:rsidR="00D064B3" w:rsidRPr="00734A7D">
        <w:rPr>
          <w:rFonts w:ascii="Times New Roman" w:hAnsi="Times New Roman" w:cs="Times New Roman"/>
          <w:sz w:val="24"/>
          <w:szCs w:val="24"/>
        </w:rPr>
        <w:t xml:space="preserve">43.15, </w:t>
      </w:r>
      <w:r w:rsidR="00D064B3" w:rsidRPr="00734A7D">
        <w:rPr>
          <w:rFonts w:ascii="Times New Roman" w:hAnsi="Times New Roman" w:cs="Times New Roman"/>
          <w:i/>
          <w:sz w:val="24"/>
          <w:szCs w:val="24"/>
        </w:rPr>
        <w:t>M</w:t>
      </w:r>
      <w:r w:rsidR="00D064B3" w:rsidRPr="00734A7D">
        <w:rPr>
          <w:rFonts w:ascii="Times New Roman" w:hAnsi="Times New Roman" w:cs="Times New Roman"/>
          <w:sz w:val="24"/>
          <w:szCs w:val="24"/>
          <w:vertAlign w:val="subscript"/>
        </w:rPr>
        <w:t>MCI-AD</w:t>
      </w:r>
      <w:r w:rsidR="00D064B3" w:rsidRPr="00734A7D">
        <w:rPr>
          <w:rFonts w:ascii="Times New Roman" w:hAnsi="Times New Roman" w:cs="Times New Roman"/>
          <w:sz w:val="24"/>
          <w:szCs w:val="24"/>
        </w:rPr>
        <w:t xml:space="preserve"> = 27.75</w:t>
      </w:r>
      <w:r w:rsidR="006470E2" w:rsidRPr="00734A7D">
        <w:rPr>
          <w:rFonts w:ascii="Times New Roman" w:hAnsi="Times New Roman" w:cs="Times New Roman"/>
          <w:sz w:val="24"/>
          <w:szCs w:val="24"/>
        </w:rPr>
        <w:t xml:space="preserve">,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&lt; .001), a larger global Aβ burden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&lt; .001), CSF Aβ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&lt; .001), CSF t-tau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&lt; .001), and CSF p-tau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&lt; .001) than the MCI-MCI group</w:t>
      </w:r>
      <w:bookmarkEnd w:id="7"/>
      <w:r w:rsidRPr="00734A7D">
        <w:rPr>
          <w:rFonts w:ascii="Times New Roman" w:hAnsi="Times New Roman" w:cs="Times New Roman"/>
          <w:sz w:val="24"/>
          <w:szCs w:val="24"/>
        </w:rPr>
        <w:t xml:space="preserve"> (Table 2).</w:t>
      </w:r>
    </w:p>
    <w:p w14:paraId="74E58482" w14:textId="77777777" w:rsidR="00712006" w:rsidRPr="00734A7D" w:rsidRDefault="00712006" w:rsidP="00712006">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 xml:space="preserve">3.2 Regional differences in Aβ </w:t>
      </w:r>
      <w:r w:rsidRPr="00734A7D">
        <w:rPr>
          <w:rFonts w:ascii="Times New Roman" w:hAnsi="Times New Roman" w:cs="Times New Roman"/>
          <w:b/>
          <w:bCs/>
          <w:sz w:val="24"/>
          <w:szCs w:val="24"/>
          <w:lang w:val="en-GB"/>
        </w:rPr>
        <w:t>burden</w:t>
      </w:r>
    </w:p>
    <w:p w14:paraId="67EB5484" w14:textId="28A40DA6" w:rsidR="00B00E33" w:rsidRPr="00734A7D" w:rsidRDefault="00712006" w:rsidP="00CE6CF9">
      <w:pPr>
        <w:spacing w:line="480" w:lineRule="auto"/>
        <w:ind w:firstLine="720"/>
        <w:rPr>
          <w:rFonts w:ascii="Times New Roman" w:hAnsi="Times New Roman" w:cs="Times New Roman"/>
          <w:sz w:val="24"/>
          <w:szCs w:val="24"/>
        </w:rPr>
      </w:pPr>
      <w:bookmarkStart w:id="8" w:name="_Hlk43745156"/>
      <w:bookmarkStart w:id="9" w:name="_Hlk70501836"/>
      <w:r w:rsidRPr="00734A7D">
        <w:rPr>
          <w:rFonts w:ascii="Times New Roman" w:hAnsi="Times New Roman" w:cs="Times New Roman"/>
          <w:sz w:val="24"/>
          <w:szCs w:val="24"/>
        </w:rPr>
        <w:t>The voxel-wise whole-brain analysis yielded higher regional Aβ burden in</w:t>
      </w:r>
      <w:bookmarkEnd w:id="8"/>
      <w:r w:rsidRPr="00734A7D">
        <w:rPr>
          <w:rFonts w:ascii="Times New Roman" w:hAnsi="Times New Roman" w:cs="Times New Roman"/>
          <w:sz w:val="24"/>
          <w:szCs w:val="24"/>
        </w:rPr>
        <w:t xml:space="preserve"> the left and right precuneus, right lingual and angular gyrus, putamen, caudate, pallidum, middle temporal gyrus, and superior temporal gyrus for the CN-MCI/AD group compared to the CN-CN group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&lt;.001, uncorrected, Figure 1A). </w:t>
      </w:r>
      <w:bookmarkStart w:id="10" w:name="_Hlk69730283"/>
      <w:r w:rsidR="0075483D" w:rsidRPr="00734A7D">
        <w:rPr>
          <w:rFonts w:ascii="Times New Roman" w:hAnsi="Times New Roman" w:cs="Times New Roman"/>
          <w:sz w:val="24"/>
          <w:szCs w:val="24"/>
        </w:rPr>
        <w:t>None of the clusters in this comparison survived correction for multiple comparisons</w:t>
      </w:r>
      <w:bookmarkEnd w:id="9"/>
      <w:bookmarkEnd w:id="10"/>
      <w:r w:rsidR="00752B4A" w:rsidRPr="00734A7D">
        <w:rPr>
          <w:rFonts w:ascii="Times New Roman" w:hAnsi="Times New Roman" w:cs="Times New Roman"/>
          <w:sz w:val="24"/>
          <w:szCs w:val="24"/>
        </w:rPr>
        <w:t xml:space="preserve">. </w:t>
      </w:r>
      <w:r w:rsidRPr="00734A7D">
        <w:rPr>
          <w:rFonts w:ascii="Times New Roman" w:hAnsi="Times New Roman" w:cs="Times New Roman"/>
          <w:sz w:val="24"/>
          <w:szCs w:val="24"/>
        </w:rPr>
        <w:t xml:space="preserve">Regional Aβ burden </w:t>
      </w:r>
      <w:r w:rsidR="00752B4A" w:rsidRPr="00734A7D">
        <w:rPr>
          <w:rFonts w:ascii="Times New Roman" w:hAnsi="Times New Roman" w:cs="Times New Roman"/>
          <w:sz w:val="24"/>
          <w:szCs w:val="24"/>
        </w:rPr>
        <w:t>was</w:t>
      </w:r>
      <w:r w:rsidR="00AF11D5" w:rsidRPr="00734A7D">
        <w:rPr>
          <w:rFonts w:ascii="Times New Roman" w:hAnsi="Times New Roman" w:cs="Times New Roman"/>
          <w:sz w:val="24"/>
          <w:szCs w:val="24"/>
        </w:rPr>
        <w:t xml:space="preserve"> </w:t>
      </w:r>
      <w:r w:rsidRPr="00734A7D">
        <w:rPr>
          <w:rFonts w:ascii="Times New Roman" w:hAnsi="Times New Roman" w:cs="Times New Roman"/>
          <w:sz w:val="24"/>
          <w:szCs w:val="24"/>
        </w:rPr>
        <w:t>also higher in the left and right anterior cingulate gyrus, medial frontal cortex</w:t>
      </w:r>
      <w:r w:rsidR="00263004" w:rsidRPr="00734A7D">
        <w:rPr>
          <w:rFonts w:ascii="Times New Roman" w:hAnsi="Times New Roman" w:cs="Times New Roman"/>
          <w:sz w:val="24"/>
          <w:szCs w:val="24"/>
        </w:rPr>
        <w:t>,</w:t>
      </w:r>
      <w:r w:rsidRPr="00734A7D">
        <w:rPr>
          <w:rFonts w:ascii="Times New Roman" w:hAnsi="Times New Roman" w:cs="Times New Roman"/>
          <w:sz w:val="24"/>
          <w:szCs w:val="24"/>
        </w:rPr>
        <w:t xml:space="preserve"> precuneus, right transverse temporal gyrus, left middle and superior temporal gyrus, posterior and anterior insula, central operculum, and medial segment of the superior frontal gyrus for the MCI-AD group compared to the MCI-MCI group (FWE-corrected, Figure 1B). </w:t>
      </w:r>
      <w:bookmarkStart w:id="11" w:name="_Hlk43745309"/>
      <w:r w:rsidRPr="00734A7D">
        <w:rPr>
          <w:rFonts w:ascii="Times New Roman" w:hAnsi="Times New Roman" w:cs="Times New Roman"/>
          <w:sz w:val="24"/>
          <w:szCs w:val="24"/>
        </w:rPr>
        <w:t xml:space="preserve">Upon visual assessment, </w:t>
      </w:r>
      <w:r w:rsidRPr="00734A7D">
        <w:rPr>
          <w:rFonts w:ascii="Times New Roman" w:hAnsi="Times New Roman" w:cs="Times New Roman"/>
          <w:sz w:val="24"/>
          <w:szCs w:val="24"/>
        </w:rPr>
        <w:lastRenderedPageBreak/>
        <w:t>hemispheric asymmetry was observed</w:t>
      </w:r>
      <w:r w:rsidR="00BA61B4" w:rsidRPr="00734A7D">
        <w:rPr>
          <w:rFonts w:ascii="Times New Roman" w:hAnsi="Times New Roman" w:cs="Times New Roman"/>
          <w:sz w:val="24"/>
          <w:szCs w:val="24"/>
        </w:rPr>
        <w:t>,</w:t>
      </w:r>
      <w:r w:rsidRPr="00734A7D">
        <w:rPr>
          <w:rFonts w:ascii="Times New Roman" w:hAnsi="Times New Roman" w:cs="Times New Roman"/>
          <w:sz w:val="24"/>
          <w:szCs w:val="24"/>
        </w:rPr>
        <w:t xml:space="preserve"> shifting from right</w:t>
      </w:r>
      <w:r w:rsidR="00AF11D5" w:rsidRPr="00734A7D">
        <w:rPr>
          <w:rFonts w:ascii="Times New Roman" w:hAnsi="Times New Roman" w:cs="Times New Roman"/>
          <w:sz w:val="24"/>
          <w:szCs w:val="24"/>
        </w:rPr>
        <w:t xml:space="preserve"> (higher </w:t>
      </w:r>
      <w:r w:rsidR="00111E36" w:rsidRPr="00734A7D">
        <w:rPr>
          <w:rFonts w:ascii="Times New Roman" w:hAnsi="Times New Roman" w:cs="Times New Roman"/>
          <w:sz w:val="24"/>
          <w:szCs w:val="24"/>
        </w:rPr>
        <w:t>Aβ</w:t>
      </w:r>
      <w:r w:rsidR="00AF11D5" w:rsidRPr="00734A7D">
        <w:rPr>
          <w:rFonts w:ascii="Times New Roman" w:hAnsi="Times New Roman" w:cs="Times New Roman"/>
          <w:sz w:val="24"/>
          <w:szCs w:val="24"/>
        </w:rPr>
        <w:t xml:space="preserve"> burde</w:t>
      </w:r>
      <w:r w:rsidR="00BA61B4" w:rsidRPr="00734A7D">
        <w:rPr>
          <w:rFonts w:ascii="Times New Roman" w:hAnsi="Times New Roman" w:cs="Times New Roman"/>
          <w:sz w:val="24"/>
          <w:szCs w:val="24"/>
        </w:rPr>
        <w:t>n in the right hemisphere in CN</w:t>
      </w:r>
      <w:r w:rsidR="00AF11D5" w:rsidRPr="00734A7D">
        <w:rPr>
          <w:rFonts w:ascii="Times New Roman" w:hAnsi="Times New Roman" w:cs="Times New Roman"/>
          <w:sz w:val="24"/>
          <w:szCs w:val="24"/>
        </w:rPr>
        <w:t>)</w:t>
      </w:r>
      <w:r w:rsidRPr="00734A7D">
        <w:rPr>
          <w:rFonts w:ascii="Times New Roman" w:hAnsi="Times New Roman" w:cs="Times New Roman"/>
          <w:sz w:val="24"/>
          <w:szCs w:val="24"/>
        </w:rPr>
        <w:t xml:space="preserve"> to left </w:t>
      </w:r>
      <w:r w:rsidR="00AF11D5" w:rsidRPr="00734A7D">
        <w:rPr>
          <w:rFonts w:ascii="Times New Roman" w:hAnsi="Times New Roman" w:cs="Times New Roman"/>
          <w:sz w:val="24"/>
          <w:szCs w:val="24"/>
        </w:rPr>
        <w:t>(higher</w:t>
      </w:r>
      <w:r w:rsidR="00111E36" w:rsidRPr="00734A7D">
        <w:rPr>
          <w:rFonts w:ascii="Times New Roman" w:hAnsi="Times New Roman" w:cs="Times New Roman"/>
          <w:sz w:val="24"/>
          <w:szCs w:val="24"/>
        </w:rPr>
        <w:t xml:space="preserve"> Aβ </w:t>
      </w:r>
      <w:r w:rsidR="00AF11D5" w:rsidRPr="00734A7D">
        <w:rPr>
          <w:rFonts w:ascii="Times New Roman" w:hAnsi="Times New Roman" w:cs="Times New Roman"/>
          <w:sz w:val="24"/>
          <w:szCs w:val="24"/>
        </w:rPr>
        <w:t>burde</w:t>
      </w:r>
      <w:r w:rsidR="00BA61B4" w:rsidRPr="00734A7D">
        <w:rPr>
          <w:rFonts w:ascii="Times New Roman" w:hAnsi="Times New Roman" w:cs="Times New Roman"/>
          <w:sz w:val="24"/>
          <w:szCs w:val="24"/>
        </w:rPr>
        <w:t>n in the left hemisphere in MCI</w:t>
      </w:r>
      <w:r w:rsidR="00AF11D5" w:rsidRPr="00734A7D">
        <w:rPr>
          <w:rFonts w:ascii="Times New Roman" w:hAnsi="Times New Roman" w:cs="Times New Roman"/>
          <w:sz w:val="24"/>
          <w:szCs w:val="24"/>
        </w:rPr>
        <w:t xml:space="preserve">) </w:t>
      </w:r>
      <w:r w:rsidRPr="00734A7D">
        <w:rPr>
          <w:rFonts w:ascii="Times New Roman" w:hAnsi="Times New Roman" w:cs="Times New Roman"/>
          <w:sz w:val="24"/>
          <w:szCs w:val="24"/>
        </w:rPr>
        <w:t>depending on the disease stage (i.e. CN or MCI).</w:t>
      </w:r>
      <w:bookmarkEnd w:id="11"/>
    </w:p>
    <w:p w14:paraId="7B5988CC" w14:textId="77777777" w:rsidR="00712006" w:rsidRPr="00734A7D" w:rsidRDefault="00712006" w:rsidP="00712006">
      <w:pPr>
        <w:spacing w:line="480" w:lineRule="auto"/>
        <w:rPr>
          <w:rFonts w:ascii="Times New Roman" w:hAnsi="Times New Roman" w:cs="Times New Roman"/>
          <w:b/>
          <w:bCs/>
          <w:sz w:val="24"/>
          <w:szCs w:val="24"/>
        </w:rPr>
      </w:pPr>
      <w:bookmarkStart w:id="12" w:name="_Hlk43745523"/>
      <w:r w:rsidRPr="00734A7D">
        <w:rPr>
          <w:rFonts w:ascii="Times New Roman" w:hAnsi="Times New Roman" w:cs="Times New Roman"/>
          <w:b/>
          <w:bCs/>
          <w:sz w:val="24"/>
          <w:szCs w:val="24"/>
        </w:rPr>
        <w:t>3.3 Predictive factors of progression</w:t>
      </w:r>
    </w:p>
    <w:p w14:paraId="34E1E602" w14:textId="122CFF00" w:rsidR="00712006" w:rsidRPr="00734A7D" w:rsidRDefault="00712006" w:rsidP="00712006">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Results indicated that regional </w:t>
      </w:r>
      <w:r w:rsidRPr="00734A7D">
        <w:rPr>
          <w:rFonts w:ascii="Times New Roman" w:eastAsia="Calibri" w:hAnsi="Times New Roman" w:cs="Times New Roman"/>
          <w:sz w:val="24"/>
          <w:szCs w:val="24"/>
        </w:rPr>
        <w:t xml:space="preserve">Aβ was predictive for progression from CN to MCI and AD, whereas </w:t>
      </w:r>
      <w:r w:rsidR="009E6D65" w:rsidRPr="00734A7D">
        <w:rPr>
          <w:rFonts w:ascii="Times New Roman" w:eastAsia="Calibri" w:hAnsi="Times New Roman" w:cs="Times New Roman"/>
          <w:sz w:val="24"/>
          <w:szCs w:val="24"/>
        </w:rPr>
        <w:t xml:space="preserve">all other predictors, including </w:t>
      </w:r>
      <w:r w:rsidRPr="00734A7D">
        <w:rPr>
          <w:rFonts w:ascii="Times New Roman" w:eastAsia="Calibri" w:hAnsi="Times New Roman" w:cs="Times New Roman"/>
          <w:sz w:val="24"/>
          <w:szCs w:val="24"/>
        </w:rPr>
        <w:t xml:space="preserve">global </w:t>
      </w:r>
      <w:r w:rsidR="00111E36" w:rsidRPr="00734A7D">
        <w:rPr>
          <w:rFonts w:ascii="Times New Roman" w:hAnsi="Times New Roman" w:cs="Times New Roman"/>
          <w:sz w:val="24"/>
          <w:szCs w:val="24"/>
        </w:rPr>
        <w:t>Aβ</w:t>
      </w:r>
      <w:r w:rsidRPr="00734A7D">
        <w:rPr>
          <w:rFonts w:ascii="Times New Roman" w:eastAsia="Calibri" w:hAnsi="Times New Roman" w:cs="Times New Roman"/>
          <w:sz w:val="24"/>
          <w:szCs w:val="24"/>
        </w:rPr>
        <w:t xml:space="preserve"> burden</w:t>
      </w:r>
      <w:r w:rsidR="009E6D65" w:rsidRPr="00734A7D">
        <w:rPr>
          <w:rFonts w:ascii="Times New Roman" w:eastAsia="Calibri" w:hAnsi="Times New Roman" w:cs="Times New Roman"/>
          <w:sz w:val="24"/>
          <w:szCs w:val="24"/>
        </w:rPr>
        <w:t xml:space="preserve">, </w:t>
      </w:r>
      <w:r w:rsidRPr="00734A7D">
        <w:rPr>
          <w:rFonts w:ascii="Times New Roman" w:eastAsia="Calibri" w:hAnsi="Times New Roman" w:cs="Times New Roman"/>
          <w:sz w:val="24"/>
          <w:szCs w:val="24"/>
        </w:rPr>
        <w:t>w</w:t>
      </w:r>
      <w:r w:rsidR="009E6D65" w:rsidRPr="00734A7D">
        <w:rPr>
          <w:rFonts w:ascii="Times New Roman" w:eastAsia="Calibri" w:hAnsi="Times New Roman" w:cs="Times New Roman"/>
          <w:sz w:val="24"/>
          <w:szCs w:val="24"/>
        </w:rPr>
        <w:t>ere</w:t>
      </w:r>
      <w:r w:rsidRPr="00734A7D">
        <w:rPr>
          <w:rFonts w:ascii="Times New Roman" w:eastAsia="Calibri" w:hAnsi="Times New Roman" w:cs="Times New Roman"/>
          <w:sz w:val="24"/>
          <w:szCs w:val="24"/>
        </w:rPr>
        <w:t xml:space="preserve"> not</w:t>
      </w:r>
      <w:r w:rsidRPr="00734A7D">
        <w:rPr>
          <w:rFonts w:ascii="Times New Roman" w:hAnsi="Times New Roman" w:cs="Times New Roman"/>
          <w:sz w:val="24"/>
          <w:szCs w:val="24"/>
        </w:rPr>
        <w:t xml:space="preserve"> (</w:t>
      </w:r>
      <w:r w:rsidRPr="00734A7D">
        <w:rPr>
          <w:rFonts w:ascii="Times New Roman" w:hAnsi="Times New Roman" w:cs="Times New Roman"/>
          <w:i/>
          <w:iCs/>
          <w:sz w:val="24"/>
          <w:szCs w:val="24"/>
        </w:rPr>
        <w:t>X</w:t>
      </w:r>
      <w:r w:rsidRPr="00734A7D">
        <w:rPr>
          <w:rFonts w:ascii="Times New Roman" w:hAnsi="Times New Roman" w:cs="Times New Roman"/>
          <w:i/>
          <w:iCs/>
          <w:sz w:val="24"/>
          <w:szCs w:val="24"/>
          <w:vertAlign w:val="superscript"/>
        </w:rPr>
        <w:t>2</w:t>
      </w:r>
      <w:r w:rsidRPr="00734A7D">
        <w:rPr>
          <w:rFonts w:ascii="Times New Roman" w:hAnsi="Times New Roman" w:cs="Times New Roman"/>
          <w:sz w:val="24"/>
          <w:szCs w:val="24"/>
        </w:rPr>
        <w:t xml:space="preserve">(9) = 21.029,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 .013). APOE4 carriership was trend significant in the model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 .051). The model explained 42.4% of the variance and correctly classified 80.0% of cases (Table 3).</w:t>
      </w:r>
      <w:r w:rsidR="008550F9" w:rsidRPr="00734A7D">
        <w:rPr>
          <w:rFonts w:ascii="Times New Roman" w:hAnsi="Times New Roman" w:cs="Times New Roman"/>
          <w:sz w:val="24"/>
          <w:szCs w:val="24"/>
        </w:rPr>
        <w:t xml:space="preserve"> For the full results table see Appendix </w:t>
      </w:r>
      <w:r w:rsidR="00B61519" w:rsidRPr="00734A7D">
        <w:rPr>
          <w:rFonts w:ascii="Times New Roman" w:hAnsi="Times New Roman" w:cs="Times New Roman"/>
          <w:sz w:val="24"/>
          <w:szCs w:val="24"/>
        </w:rPr>
        <w:t>C</w:t>
      </w:r>
      <w:r w:rsidR="008550F9" w:rsidRPr="00734A7D">
        <w:rPr>
          <w:rFonts w:ascii="Times New Roman" w:hAnsi="Times New Roman" w:cs="Times New Roman"/>
          <w:sz w:val="24"/>
          <w:szCs w:val="24"/>
        </w:rPr>
        <w:t>.</w:t>
      </w:r>
      <w:r w:rsidRPr="00734A7D">
        <w:rPr>
          <w:rFonts w:ascii="Times New Roman" w:hAnsi="Times New Roman" w:cs="Times New Roman"/>
          <w:sz w:val="24"/>
          <w:szCs w:val="24"/>
        </w:rPr>
        <w:t xml:space="preserve"> Regional </w:t>
      </w:r>
      <w:r w:rsidR="00DB720D" w:rsidRPr="00734A7D">
        <w:rPr>
          <w:rFonts w:ascii="Times New Roman" w:hAnsi="Times New Roman" w:cs="Times New Roman"/>
          <w:sz w:val="24"/>
          <w:szCs w:val="24"/>
        </w:rPr>
        <w:t xml:space="preserve">Aβ </w:t>
      </w:r>
      <w:r w:rsidR="00165320" w:rsidRPr="00734A7D">
        <w:rPr>
          <w:rFonts w:ascii="Times New Roman" w:hAnsi="Times New Roman" w:cs="Times New Roman"/>
          <w:sz w:val="24"/>
          <w:szCs w:val="24"/>
        </w:rPr>
        <w:t>and increased age were</w:t>
      </w:r>
      <w:r w:rsidRPr="00734A7D">
        <w:rPr>
          <w:rFonts w:ascii="Times New Roman" w:hAnsi="Times New Roman" w:cs="Times New Roman"/>
          <w:sz w:val="24"/>
          <w:szCs w:val="24"/>
        </w:rPr>
        <w:t xml:space="preserve"> particularly sensitive </w:t>
      </w:r>
      <w:r w:rsidR="00DB720D" w:rsidRPr="00734A7D">
        <w:rPr>
          <w:rFonts w:ascii="Times New Roman" w:hAnsi="Times New Roman" w:cs="Times New Roman"/>
          <w:sz w:val="24"/>
          <w:szCs w:val="24"/>
        </w:rPr>
        <w:t xml:space="preserve">to predict progression </w:t>
      </w:r>
      <w:r w:rsidRPr="00734A7D">
        <w:rPr>
          <w:rFonts w:ascii="Times New Roman" w:hAnsi="Times New Roman" w:cs="Times New Roman"/>
          <w:sz w:val="24"/>
          <w:szCs w:val="24"/>
        </w:rPr>
        <w:t xml:space="preserve">in fast </w:t>
      </w:r>
      <w:r w:rsidR="00562A05" w:rsidRPr="00734A7D">
        <w:rPr>
          <w:rFonts w:ascii="Times New Roman" w:hAnsi="Times New Roman" w:cs="Times New Roman"/>
          <w:sz w:val="24"/>
          <w:szCs w:val="24"/>
        </w:rPr>
        <w:t>(≤</w:t>
      </w:r>
      <w:r w:rsidR="004E5774" w:rsidRPr="00734A7D">
        <w:rPr>
          <w:rFonts w:ascii="Times New Roman" w:hAnsi="Times New Roman" w:cs="Times New Roman"/>
          <w:sz w:val="24"/>
          <w:szCs w:val="24"/>
        </w:rPr>
        <w:t xml:space="preserve"> </w:t>
      </w:r>
      <w:r w:rsidR="00562A05" w:rsidRPr="00734A7D">
        <w:rPr>
          <w:rFonts w:ascii="Times New Roman" w:hAnsi="Times New Roman" w:cs="Times New Roman"/>
          <w:sz w:val="24"/>
          <w:szCs w:val="24"/>
        </w:rPr>
        <w:t xml:space="preserve">36 months) </w:t>
      </w:r>
      <w:r w:rsidRPr="00734A7D">
        <w:rPr>
          <w:rFonts w:ascii="Times New Roman" w:hAnsi="Times New Roman" w:cs="Times New Roman"/>
          <w:sz w:val="24"/>
          <w:szCs w:val="24"/>
        </w:rPr>
        <w:t xml:space="preserve">compared to slow </w:t>
      </w:r>
      <w:r w:rsidR="00562A05" w:rsidRPr="00734A7D">
        <w:rPr>
          <w:rFonts w:ascii="Times New Roman" w:hAnsi="Times New Roman" w:cs="Times New Roman"/>
          <w:sz w:val="24"/>
          <w:szCs w:val="24"/>
        </w:rPr>
        <w:t>(&gt;</w:t>
      </w:r>
      <w:r w:rsidR="004E5774" w:rsidRPr="00734A7D">
        <w:rPr>
          <w:rFonts w:ascii="Times New Roman" w:hAnsi="Times New Roman" w:cs="Times New Roman"/>
          <w:sz w:val="24"/>
          <w:szCs w:val="24"/>
        </w:rPr>
        <w:t xml:space="preserve"> </w:t>
      </w:r>
      <w:r w:rsidR="00562A05" w:rsidRPr="00734A7D">
        <w:rPr>
          <w:rFonts w:ascii="Times New Roman" w:hAnsi="Times New Roman" w:cs="Times New Roman"/>
          <w:sz w:val="24"/>
          <w:szCs w:val="24"/>
        </w:rPr>
        <w:t xml:space="preserve">36 months) </w:t>
      </w:r>
      <w:r w:rsidR="00165320" w:rsidRPr="00734A7D">
        <w:rPr>
          <w:rFonts w:ascii="Times New Roman" w:hAnsi="Times New Roman" w:cs="Times New Roman"/>
          <w:sz w:val="24"/>
          <w:szCs w:val="24"/>
        </w:rPr>
        <w:t xml:space="preserve">progressors. </w:t>
      </w:r>
      <w:r w:rsidRPr="00734A7D">
        <w:rPr>
          <w:rFonts w:ascii="Times New Roman" w:hAnsi="Times New Roman" w:cs="Times New Roman"/>
          <w:sz w:val="24"/>
          <w:szCs w:val="24"/>
        </w:rPr>
        <w:t xml:space="preserve">APOE4 carriership, on the other hand, was particularly sensitive </w:t>
      </w:r>
      <w:r w:rsidR="0016544E" w:rsidRPr="00734A7D">
        <w:rPr>
          <w:rFonts w:ascii="Times New Roman" w:hAnsi="Times New Roman" w:cs="Times New Roman"/>
          <w:sz w:val="24"/>
          <w:szCs w:val="24"/>
        </w:rPr>
        <w:t xml:space="preserve">to predict progression </w:t>
      </w:r>
      <w:r w:rsidRPr="00734A7D">
        <w:rPr>
          <w:rFonts w:ascii="Times New Roman" w:hAnsi="Times New Roman" w:cs="Times New Roman"/>
          <w:sz w:val="24"/>
          <w:szCs w:val="24"/>
        </w:rPr>
        <w:t xml:space="preserve">in slow compared to fast progressors (see </w:t>
      </w:r>
      <w:r w:rsidR="00B64BEA" w:rsidRPr="00734A7D">
        <w:rPr>
          <w:rFonts w:ascii="Times New Roman" w:hAnsi="Times New Roman" w:cs="Times New Roman"/>
          <w:sz w:val="24"/>
          <w:szCs w:val="24"/>
        </w:rPr>
        <w:t xml:space="preserve">Appendix </w:t>
      </w:r>
      <w:r w:rsidR="00562A05" w:rsidRPr="00734A7D">
        <w:rPr>
          <w:rFonts w:ascii="Times New Roman" w:hAnsi="Times New Roman" w:cs="Times New Roman"/>
          <w:sz w:val="24"/>
          <w:szCs w:val="24"/>
        </w:rPr>
        <w:t>A</w:t>
      </w:r>
      <w:r w:rsidR="008D2D97" w:rsidRPr="00734A7D">
        <w:rPr>
          <w:rFonts w:ascii="Times New Roman" w:hAnsi="Times New Roman" w:cs="Times New Roman"/>
          <w:sz w:val="24"/>
          <w:szCs w:val="24"/>
        </w:rPr>
        <w:t>1</w:t>
      </w:r>
      <w:r w:rsidRPr="00734A7D">
        <w:rPr>
          <w:rFonts w:ascii="Times New Roman" w:hAnsi="Times New Roman" w:cs="Times New Roman"/>
          <w:sz w:val="24"/>
          <w:szCs w:val="24"/>
        </w:rPr>
        <w:t>).</w:t>
      </w:r>
    </w:p>
    <w:p w14:paraId="58A8A9F7" w14:textId="204216EF" w:rsidR="00562A05" w:rsidRPr="00734A7D" w:rsidRDefault="00712006" w:rsidP="00562A05">
      <w:pPr>
        <w:spacing w:line="480" w:lineRule="auto"/>
        <w:ind w:firstLine="720"/>
        <w:rPr>
          <w:rFonts w:ascii="Times New Roman" w:hAnsi="Times New Roman" w:cs="Times New Roman"/>
          <w:sz w:val="24"/>
          <w:szCs w:val="24"/>
        </w:rPr>
      </w:pPr>
      <w:bookmarkStart w:id="13" w:name="_Hlk43746103"/>
      <w:bookmarkEnd w:id="12"/>
      <w:r w:rsidRPr="00734A7D">
        <w:rPr>
          <w:rFonts w:ascii="Times New Roman" w:hAnsi="Times New Roman" w:cs="Times New Roman"/>
          <w:sz w:val="24"/>
          <w:szCs w:val="24"/>
        </w:rPr>
        <w:t xml:space="preserve">For the MCI-MCI vs. MCI-AD comparison, the CSF </w:t>
      </w:r>
      <w:r w:rsidRPr="00734A7D">
        <w:rPr>
          <w:rFonts w:ascii="Times New Roman" w:eastAsia="Calibri" w:hAnsi="Times New Roman" w:cs="Times New Roman"/>
          <w:sz w:val="24"/>
          <w:szCs w:val="24"/>
        </w:rPr>
        <w:t>Aβ score and</w:t>
      </w:r>
      <w:r w:rsidRPr="00734A7D">
        <w:rPr>
          <w:rFonts w:ascii="Times New Roman" w:hAnsi="Times New Roman" w:cs="Times New Roman"/>
          <w:sz w:val="24"/>
          <w:szCs w:val="24"/>
        </w:rPr>
        <w:t xml:space="preserve"> the mean regional SUVR were significant in the model (</w:t>
      </w:r>
      <w:r w:rsidRPr="00734A7D">
        <w:rPr>
          <w:rFonts w:ascii="Times New Roman" w:hAnsi="Times New Roman" w:cs="Times New Roman"/>
          <w:i/>
          <w:iCs/>
          <w:sz w:val="24"/>
          <w:szCs w:val="24"/>
        </w:rPr>
        <w:t>X</w:t>
      </w:r>
      <w:r w:rsidRPr="00734A7D">
        <w:rPr>
          <w:rFonts w:ascii="Times New Roman" w:hAnsi="Times New Roman" w:cs="Times New Roman"/>
          <w:i/>
          <w:iCs/>
          <w:sz w:val="24"/>
          <w:szCs w:val="24"/>
          <w:vertAlign w:val="superscript"/>
        </w:rPr>
        <w:t>2</w:t>
      </w:r>
      <w:r w:rsidRPr="00734A7D">
        <w:rPr>
          <w:rFonts w:ascii="Times New Roman" w:hAnsi="Times New Roman" w:cs="Times New Roman"/>
          <w:sz w:val="24"/>
          <w:szCs w:val="24"/>
        </w:rPr>
        <w:t xml:space="preserve">(9) = 51.686,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&lt; .000), indicating that a higher CSF </w:t>
      </w:r>
      <w:r w:rsidRPr="00734A7D">
        <w:rPr>
          <w:rFonts w:ascii="Times New Roman" w:eastAsia="Calibri" w:hAnsi="Times New Roman" w:cs="Times New Roman"/>
          <w:sz w:val="24"/>
          <w:szCs w:val="24"/>
        </w:rPr>
        <w:t>Aβ</w:t>
      </w:r>
      <w:r w:rsidRPr="00734A7D">
        <w:rPr>
          <w:rFonts w:ascii="Times New Roman" w:hAnsi="Times New Roman" w:cs="Times New Roman"/>
          <w:sz w:val="24"/>
          <w:szCs w:val="24"/>
        </w:rPr>
        <w:t xml:space="preserve"> score and higher </w:t>
      </w:r>
      <w:bookmarkStart w:id="14" w:name="_Hlk70429502"/>
      <w:r w:rsidRPr="00734A7D">
        <w:rPr>
          <w:rFonts w:ascii="Times New Roman" w:hAnsi="Times New Roman" w:cs="Times New Roman"/>
          <w:sz w:val="24"/>
          <w:szCs w:val="24"/>
        </w:rPr>
        <w:t>Aβ</w:t>
      </w:r>
      <w:bookmarkEnd w:id="14"/>
      <w:r w:rsidRPr="00734A7D">
        <w:rPr>
          <w:rFonts w:ascii="Times New Roman" w:hAnsi="Times New Roman" w:cs="Times New Roman"/>
          <w:sz w:val="24"/>
          <w:szCs w:val="24"/>
        </w:rPr>
        <w:t xml:space="preserve"> burden in the identified regions are predictive for progression from MCI to AD. The model explained 34.7% of variance and correctly classified 74.6% of cases (Table 3).</w:t>
      </w:r>
      <w:bookmarkStart w:id="15" w:name="_Hlk43746161"/>
      <w:bookmarkEnd w:id="13"/>
      <w:r w:rsidR="002453B1" w:rsidRPr="00734A7D">
        <w:rPr>
          <w:rFonts w:ascii="Times New Roman" w:hAnsi="Times New Roman" w:cs="Times New Roman"/>
          <w:sz w:val="24"/>
          <w:szCs w:val="24"/>
        </w:rPr>
        <w:t xml:space="preserve"> </w:t>
      </w:r>
      <w:r w:rsidR="008E1B0B" w:rsidRPr="00734A7D">
        <w:rPr>
          <w:rFonts w:ascii="Times New Roman" w:hAnsi="Times New Roman" w:cs="Times New Roman"/>
          <w:sz w:val="24"/>
          <w:szCs w:val="24"/>
        </w:rPr>
        <w:t xml:space="preserve">Regional </w:t>
      </w:r>
      <w:r w:rsidR="008E1B0B" w:rsidRPr="00734A7D">
        <w:rPr>
          <w:rFonts w:ascii="Times New Roman" w:eastAsia="Calibri" w:hAnsi="Times New Roman" w:cs="Times New Roman"/>
          <w:sz w:val="24"/>
          <w:szCs w:val="24"/>
        </w:rPr>
        <w:t>Aβ</w:t>
      </w:r>
      <w:r w:rsidR="008E1B0B" w:rsidRPr="00734A7D">
        <w:rPr>
          <w:rFonts w:ascii="Times New Roman" w:hAnsi="Times New Roman" w:cs="Times New Roman"/>
          <w:sz w:val="24"/>
          <w:szCs w:val="24"/>
        </w:rPr>
        <w:t xml:space="preserve"> predicted conversion within 12 months after established </w:t>
      </w:r>
      <w:r w:rsidR="008E1B0B" w:rsidRPr="00734A7D">
        <w:rPr>
          <w:rFonts w:ascii="Times New Roman" w:eastAsia="Calibri" w:hAnsi="Times New Roman" w:cs="Times New Roman"/>
          <w:sz w:val="24"/>
          <w:szCs w:val="24"/>
        </w:rPr>
        <w:t>Aβ</w:t>
      </w:r>
      <w:r w:rsidR="008E1B0B" w:rsidRPr="00734A7D">
        <w:rPr>
          <w:rFonts w:ascii="Times New Roman" w:hAnsi="Times New Roman" w:cs="Times New Roman"/>
          <w:sz w:val="24"/>
          <w:szCs w:val="24"/>
        </w:rPr>
        <w:t>-positivity, together with sex and APOE4 carriership ((</w:t>
      </w:r>
      <w:r w:rsidR="008E1B0B" w:rsidRPr="00734A7D">
        <w:rPr>
          <w:rFonts w:ascii="Times New Roman" w:hAnsi="Times New Roman" w:cs="Times New Roman"/>
          <w:i/>
          <w:iCs/>
          <w:sz w:val="24"/>
          <w:szCs w:val="24"/>
        </w:rPr>
        <w:t>X</w:t>
      </w:r>
      <w:r w:rsidR="008E1B0B" w:rsidRPr="00734A7D">
        <w:rPr>
          <w:rFonts w:ascii="Times New Roman" w:hAnsi="Times New Roman" w:cs="Times New Roman"/>
          <w:i/>
          <w:iCs/>
          <w:sz w:val="24"/>
          <w:szCs w:val="24"/>
          <w:vertAlign w:val="superscript"/>
        </w:rPr>
        <w:t>2</w:t>
      </w:r>
      <w:r w:rsidR="008E1B0B" w:rsidRPr="00734A7D">
        <w:rPr>
          <w:rFonts w:ascii="Times New Roman" w:hAnsi="Times New Roman" w:cs="Times New Roman"/>
          <w:sz w:val="24"/>
          <w:szCs w:val="24"/>
        </w:rPr>
        <w:t xml:space="preserve">(18) = 57.095, </w:t>
      </w:r>
      <w:r w:rsidR="008E1B0B" w:rsidRPr="00734A7D">
        <w:rPr>
          <w:rFonts w:ascii="Times New Roman" w:hAnsi="Times New Roman" w:cs="Times New Roman"/>
          <w:i/>
          <w:iCs/>
          <w:sz w:val="24"/>
          <w:szCs w:val="24"/>
        </w:rPr>
        <w:t>p</w:t>
      </w:r>
      <w:r w:rsidR="008E1B0B" w:rsidRPr="00734A7D">
        <w:rPr>
          <w:rFonts w:ascii="Times New Roman" w:hAnsi="Times New Roman" w:cs="Times New Roman"/>
          <w:sz w:val="24"/>
          <w:szCs w:val="24"/>
        </w:rPr>
        <w:t xml:space="preserve"> &lt; .001). None of the variables predicted slow conversion</w:t>
      </w:r>
      <w:r w:rsidR="009732F4" w:rsidRPr="00734A7D">
        <w:rPr>
          <w:rFonts w:ascii="Times New Roman" w:hAnsi="Times New Roman" w:cs="Times New Roman"/>
          <w:sz w:val="24"/>
          <w:szCs w:val="24"/>
        </w:rPr>
        <w:t xml:space="preserve"> </w:t>
      </w:r>
      <w:r w:rsidR="00562A05" w:rsidRPr="00734A7D">
        <w:rPr>
          <w:rFonts w:ascii="Times New Roman" w:hAnsi="Times New Roman" w:cs="Times New Roman"/>
          <w:sz w:val="24"/>
          <w:szCs w:val="24"/>
        </w:rPr>
        <w:t>(see Appendix A1).</w:t>
      </w:r>
    </w:p>
    <w:p w14:paraId="46350D51" w14:textId="40781AAF" w:rsidR="00712006" w:rsidRPr="00734A7D" w:rsidRDefault="00712006" w:rsidP="00562A05">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 xml:space="preserve">3.4 Analyzing the unique </w:t>
      </w:r>
      <w:r w:rsidR="00E92E48" w:rsidRPr="00734A7D">
        <w:rPr>
          <w:rFonts w:ascii="Times New Roman" w:hAnsi="Times New Roman" w:cs="Times New Roman"/>
          <w:b/>
          <w:bCs/>
          <w:sz w:val="24"/>
          <w:szCs w:val="24"/>
        </w:rPr>
        <w:t>regional pattern of</w:t>
      </w:r>
      <w:r w:rsidR="00E92E48" w:rsidRPr="00734A7D">
        <w:rPr>
          <w:rFonts w:ascii="Times New Roman" w:hAnsi="Times New Roman" w:cs="Times New Roman"/>
          <w:b/>
          <w:sz w:val="24"/>
          <w:szCs w:val="24"/>
        </w:rPr>
        <w:t xml:space="preserve"> Aβ</w:t>
      </w:r>
      <w:r w:rsidR="00E92E48" w:rsidRPr="00734A7D">
        <w:rPr>
          <w:rFonts w:ascii="Times New Roman" w:hAnsi="Times New Roman" w:cs="Times New Roman"/>
          <w:b/>
          <w:bCs/>
          <w:sz w:val="24"/>
          <w:szCs w:val="24"/>
        </w:rPr>
        <w:t xml:space="preserve"> burden </w:t>
      </w:r>
      <w:r w:rsidR="00D304D5" w:rsidRPr="00734A7D">
        <w:rPr>
          <w:rFonts w:ascii="Times New Roman" w:hAnsi="Times New Roman" w:cs="Times New Roman"/>
          <w:b/>
          <w:bCs/>
          <w:sz w:val="24"/>
          <w:szCs w:val="24"/>
        </w:rPr>
        <w:t xml:space="preserve">as a predictor of disease progression. </w:t>
      </w:r>
    </w:p>
    <w:p w14:paraId="217B0EE2" w14:textId="2ED8FFE0" w:rsidR="009F379D" w:rsidRPr="00734A7D" w:rsidRDefault="00D304D5" w:rsidP="00002F18">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We evaluated if the mean SUVRs in the regional cluster identified in the CN-CN vs. CN-MCI/AD comparison was also sensitive in the regression model to predict MCI-AD progression. This model only yielded a significant effect of CSF Aβ (</w:t>
      </w:r>
      <w:r w:rsidRPr="00734A7D">
        <w:rPr>
          <w:rFonts w:ascii="Times New Roman" w:hAnsi="Times New Roman" w:cs="Times New Roman"/>
          <w:i/>
          <w:iCs/>
          <w:sz w:val="24"/>
          <w:szCs w:val="24"/>
        </w:rPr>
        <w:t>X</w:t>
      </w:r>
      <w:r w:rsidRPr="00734A7D">
        <w:rPr>
          <w:rFonts w:ascii="Times New Roman" w:hAnsi="Times New Roman" w:cs="Times New Roman"/>
          <w:i/>
          <w:iCs/>
          <w:sz w:val="24"/>
          <w:szCs w:val="24"/>
          <w:vertAlign w:val="superscript"/>
        </w:rPr>
        <w:t>2</w:t>
      </w:r>
      <w:r w:rsidRPr="00734A7D">
        <w:rPr>
          <w:rFonts w:ascii="Times New Roman" w:hAnsi="Times New Roman" w:cs="Times New Roman"/>
          <w:sz w:val="24"/>
          <w:szCs w:val="24"/>
        </w:rPr>
        <w:t xml:space="preserve">(9) = 43.022, </w:t>
      </w:r>
      <w:r w:rsidRPr="00734A7D">
        <w:rPr>
          <w:rFonts w:ascii="Times New Roman" w:hAnsi="Times New Roman" w:cs="Times New Roman"/>
          <w:i/>
          <w:iCs/>
          <w:sz w:val="24"/>
          <w:szCs w:val="24"/>
        </w:rPr>
        <w:t>p</w:t>
      </w:r>
      <w:r w:rsidRPr="00734A7D">
        <w:rPr>
          <w:rFonts w:ascii="Times New Roman" w:hAnsi="Times New Roman" w:cs="Times New Roman"/>
          <w:sz w:val="24"/>
          <w:szCs w:val="24"/>
        </w:rPr>
        <w:t xml:space="preserve"> &lt; </w:t>
      </w:r>
      <w:r w:rsidRPr="00734A7D">
        <w:rPr>
          <w:rFonts w:ascii="Times New Roman" w:hAnsi="Times New Roman" w:cs="Times New Roman"/>
          <w:sz w:val="24"/>
          <w:szCs w:val="24"/>
        </w:rPr>
        <w:lastRenderedPageBreak/>
        <w:t xml:space="preserve">.001), while all other predictors were not significant. When the reverse analysis was performed including the CN-CN and CN-MCI/AD groups with the mean SUVR of the identified regions from the MCI-MCI vs. MCI-AD analysis, none of the variables were significant in the model. Results indicate that the identified regions of the two comparisons are both unique for predicting progression from and to specific disease stages. The sensitivity analysis only including individuals with at least 4 years of follow-up revealed a similar regional pattern, but the variance </w:t>
      </w:r>
      <w:r w:rsidR="00C45CD7" w:rsidRPr="00734A7D">
        <w:rPr>
          <w:rFonts w:ascii="Times New Roman" w:hAnsi="Times New Roman" w:cs="Times New Roman"/>
          <w:sz w:val="24"/>
          <w:szCs w:val="24"/>
        </w:rPr>
        <w:t xml:space="preserve">explained by this model </w:t>
      </w:r>
      <w:r w:rsidRPr="00734A7D">
        <w:rPr>
          <w:rFonts w:ascii="Times New Roman" w:hAnsi="Times New Roman" w:cs="Times New Roman"/>
          <w:sz w:val="24"/>
          <w:szCs w:val="24"/>
        </w:rPr>
        <w:t>increased by 20% (see Appendix B1).</w:t>
      </w:r>
      <w:bookmarkEnd w:id="15"/>
    </w:p>
    <w:p w14:paraId="2643DD04" w14:textId="22408D57" w:rsidR="00712006" w:rsidRPr="00734A7D" w:rsidRDefault="00712006" w:rsidP="00712006">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4. DISCUSSION</w:t>
      </w:r>
    </w:p>
    <w:p w14:paraId="2ADAF512" w14:textId="420FBAB3" w:rsidR="00681BE8" w:rsidRPr="00734A7D" w:rsidRDefault="00471E4D" w:rsidP="00CE6CF9">
      <w:pPr>
        <w:spacing w:line="480" w:lineRule="auto"/>
        <w:ind w:firstLine="720"/>
        <w:rPr>
          <w:rFonts w:ascii="Times New Roman" w:hAnsi="Times New Roman" w:cs="Times New Roman"/>
          <w:sz w:val="24"/>
          <w:szCs w:val="24"/>
        </w:rPr>
      </w:pPr>
      <w:bookmarkStart w:id="16" w:name="_Hlk47531476"/>
      <w:bookmarkStart w:id="17" w:name="_Hlk43747354"/>
      <w:r w:rsidRPr="00734A7D">
        <w:rPr>
          <w:rFonts w:ascii="Times New Roman" w:hAnsi="Times New Roman" w:cs="Times New Roman"/>
          <w:sz w:val="24"/>
          <w:szCs w:val="24"/>
        </w:rPr>
        <w:t xml:space="preserve">The main results of this study showed that </w:t>
      </w:r>
      <w:r w:rsidR="00466CFF" w:rsidRPr="00734A7D">
        <w:rPr>
          <w:rFonts w:ascii="Times New Roman" w:hAnsi="Times New Roman" w:cs="Times New Roman"/>
          <w:sz w:val="24"/>
          <w:szCs w:val="24"/>
        </w:rPr>
        <w:t xml:space="preserve">specific </w:t>
      </w:r>
      <w:r w:rsidRPr="00734A7D">
        <w:rPr>
          <w:rFonts w:ascii="Times New Roman" w:hAnsi="Times New Roman" w:cs="Times New Roman"/>
          <w:sz w:val="24"/>
          <w:szCs w:val="24"/>
        </w:rPr>
        <w:t>regional Aβ</w:t>
      </w:r>
      <w:r w:rsidR="00466CFF" w:rsidRPr="00734A7D">
        <w:rPr>
          <w:rFonts w:ascii="Times New Roman" w:hAnsi="Times New Roman" w:cs="Times New Roman"/>
          <w:sz w:val="24"/>
          <w:szCs w:val="24"/>
        </w:rPr>
        <w:t xml:space="preserve"> deposition patterns</w:t>
      </w:r>
      <w:r w:rsidRPr="00734A7D">
        <w:rPr>
          <w:rFonts w:ascii="Times New Roman" w:hAnsi="Times New Roman" w:cs="Times New Roman"/>
          <w:sz w:val="24"/>
          <w:szCs w:val="24"/>
        </w:rPr>
        <w:t xml:space="preserve"> predict progression from CN to MCI or AD, as well as progression from MCI to AD. In addition to known predictors such as APOE4 carriership and age, the regional pattern of Aβ burden was predictive for more rapid progression from CN to MCI or AD within three years after established Aβ-positivity. Similarly, regional </w:t>
      </w:r>
      <w:r w:rsidR="00111E36" w:rsidRPr="00734A7D">
        <w:rPr>
          <w:rFonts w:ascii="Times New Roman" w:hAnsi="Times New Roman" w:cs="Times New Roman"/>
          <w:sz w:val="24"/>
          <w:szCs w:val="24"/>
        </w:rPr>
        <w:t>Aβ</w:t>
      </w:r>
      <w:r w:rsidRPr="00734A7D">
        <w:rPr>
          <w:rFonts w:ascii="Times New Roman" w:hAnsi="Times New Roman" w:cs="Times New Roman"/>
          <w:sz w:val="24"/>
          <w:szCs w:val="24"/>
        </w:rPr>
        <w:t xml:space="preserve"> burden was predictive for fast conversion from MCI to AD within one year after established Aβ-positivity, together with sex and APOE4 carriership. Finally, Aβ regions identified in each group comparison were unique for the prediction of progression within each progressor group (i.e., CN to MCI/AD or MCI to AD) and were confirmed with an additional sensitivity analysis. Results demonstrate that regional Aβ constitutes a valuable predictor for progression to prodromal and clinical AD in </w:t>
      </w:r>
      <w:r w:rsidR="00111E36" w:rsidRPr="00734A7D">
        <w:rPr>
          <w:rFonts w:ascii="Times New Roman" w:hAnsi="Times New Roman" w:cs="Times New Roman"/>
          <w:sz w:val="24"/>
          <w:szCs w:val="24"/>
        </w:rPr>
        <w:t>Aβ-</w:t>
      </w:r>
      <w:r w:rsidRPr="00734A7D">
        <w:rPr>
          <w:rFonts w:ascii="Times New Roman" w:hAnsi="Times New Roman" w:cs="Times New Roman"/>
          <w:sz w:val="24"/>
          <w:szCs w:val="24"/>
        </w:rPr>
        <w:t xml:space="preserve">positive individuals, which had more predictive value than global Aβ or single CSF biomarkers. </w:t>
      </w:r>
      <w:r w:rsidR="00175CA4" w:rsidRPr="00734A7D">
        <w:rPr>
          <w:rFonts w:ascii="Times New Roman" w:hAnsi="Times New Roman" w:cs="Times New Roman"/>
          <w:sz w:val="24"/>
          <w:szCs w:val="24"/>
        </w:rPr>
        <w:t>Findings</w:t>
      </w:r>
      <w:r w:rsidR="00712006" w:rsidRPr="00734A7D">
        <w:rPr>
          <w:rFonts w:ascii="Times New Roman" w:hAnsi="Times New Roman" w:cs="Times New Roman"/>
          <w:sz w:val="24"/>
          <w:szCs w:val="24"/>
        </w:rPr>
        <w:t xml:space="preserve"> are discussed in more detail in the context of 1) regional Aβ staging, 2) hemispheric asymmetry, and 3) </w:t>
      </w:r>
      <w:bookmarkEnd w:id="16"/>
      <w:r w:rsidR="00712006" w:rsidRPr="00734A7D">
        <w:rPr>
          <w:rFonts w:ascii="Times New Roman" w:hAnsi="Times New Roman" w:cs="Times New Roman"/>
          <w:sz w:val="24"/>
          <w:szCs w:val="24"/>
        </w:rPr>
        <w:t>the contribution of APOE4 carriership and CSF biomarkers.</w:t>
      </w:r>
    </w:p>
    <w:p w14:paraId="707A3E30" w14:textId="6F3CC5F4" w:rsidR="00543D97" w:rsidRPr="00734A7D" w:rsidRDefault="00543D97" w:rsidP="00CE6CF9">
      <w:pPr>
        <w:spacing w:line="480" w:lineRule="auto"/>
        <w:ind w:firstLine="720"/>
        <w:rPr>
          <w:rFonts w:ascii="Times New Roman" w:hAnsi="Times New Roman" w:cs="Times New Roman"/>
          <w:sz w:val="24"/>
          <w:szCs w:val="24"/>
        </w:rPr>
      </w:pPr>
    </w:p>
    <w:p w14:paraId="09831DCD" w14:textId="77777777" w:rsidR="00543D97" w:rsidRPr="00734A7D" w:rsidRDefault="00543D97" w:rsidP="00CE6CF9">
      <w:pPr>
        <w:spacing w:line="480" w:lineRule="auto"/>
        <w:ind w:firstLine="720"/>
        <w:rPr>
          <w:rFonts w:ascii="Times New Roman" w:hAnsi="Times New Roman" w:cs="Times New Roman"/>
          <w:sz w:val="24"/>
          <w:szCs w:val="24"/>
        </w:rPr>
      </w:pPr>
    </w:p>
    <w:p w14:paraId="71DE1033" w14:textId="01DB9DD2" w:rsidR="00712006" w:rsidRPr="00734A7D" w:rsidRDefault="00712006" w:rsidP="00712006">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lastRenderedPageBreak/>
        <w:t xml:space="preserve">4.1 </w:t>
      </w:r>
      <w:r w:rsidR="00C45CD7" w:rsidRPr="00734A7D">
        <w:rPr>
          <w:rFonts w:ascii="Times New Roman" w:hAnsi="Times New Roman" w:cs="Times New Roman"/>
          <w:b/>
          <w:bCs/>
          <w:sz w:val="24"/>
          <w:szCs w:val="24"/>
        </w:rPr>
        <w:t xml:space="preserve">Regional Aβ staging: Unique regional patterns of Aβ predict progression </w:t>
      </w:r>
    </w:p>
    <w:p w14:paraId="6F2057CE" w14:textId="45DE7F2B" w:rsidR="00712006" w:rsidRPr="00734A7D" w:rsidRDefault="00712006" w:rsidP="00712006">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Recent studies investigating regional Aβ burden explored its topographical pattern </w:t>
      </w:r>
      <w:r w:rsidRPr="00734A7D">
        <w:rPr>
          <w:rFonts w:ascii="Times New Roman" w:hAnsi="Times New Roman" w:cs="Times New Roman"/>
          <w:i/>
          <w:iCs/>
          <w:sz w:val="24"/>
          <w:szCs w:val="24"/>
        </w:rPr>
        <w:t>in vivo</w:t>
      </w:r>
      <w:r w:rsidRPr="00734A7D">
        <w:rPr>
          <w:rFonts w:ascii="Times New Roman" w:hAnsi="Times New Roman" w:cs="Times New Roman"/>
          <w:sz w:val="24"/>
          <w:szCs w:val="24"/>
        </w:rPr>
        <w:t xml:space="preserve"> using Aβ-PET</w:t>
      </w:r>
      <w:r w:rsidR="00CE1EBC" w:rsidRPr="00734A7D">
        <w:rPr>
          <w:rFonts w:ascii="Times New Roman" w:hAnsi="Times New Roman" w:cs="Times New Roman"/>
          <w:sz w:val="24"/>
          <w:szCs w:val="24"/>
        </w:rPr>
        <w:t xml:space="preserve"> (Cho et al., 2016; Grothe et al., 2017; Mattsson et al., 2019; Sakr et al., 2019)</w:t>
      </w:r>
      <w:r w:rsidRPr="00734A7D">
        <w:rPr>
          <w:rFonts w:ascii="Times New Roman" w:hAnsi="Times New Roman" w:cs="Times New Roman"/>
          <w:sz w:val="24"/>
          <w:szCs w:val="24"/>
        </w:rPr>
        <w:t xml:space="preserve"> and observed successive Aβ accumulation beginning in the precuneus, medial orbitofrontal and posterior cingulate cortices, spreading to core regions of the default mode network, associative neocortex, primary sensory-motor cortex</w:t>
      </w:r>
      <w:r w:rsidR="00833F3F" w:rsidRPr="00734A7D">
        <w:rPr>
          <w:rFonts w:ascii="Times New Roman" w:hAnsi="Times New Roman" w:cs="Times New Roman"/>
          <w:sz w:val="24"/>
          <w:szCs w:val="24"/>
        </w:rPr>
        <w:t>,</w:t>
      </w:r>
      <w:r w:rsidRPr="00734A7D">
        <w:rPr>
          <w:rFonts w:ascii="Times New Roman" w:hAnsi="Times New Roman" w:cs="Times New Roman"/>
          <w:sz w:val="24"/>
          <w:szCs w:val="24"/>
        </w:rPr>
        <w:t xml:space="preserve"> and medial temporal lobe, finally affecting the striatum. Here, we demonstrate that beyond global Aβ burden, Aβ accumulation in precuneus, lingual and angular gyrus, medial and superior temporal gyrus as well as subcortical regions was predictive of progression from a cognitively normal state to prodromal or clinical AD. Most of these regions are comprised in stage 1 of the staging model proposed by Mattsson and colleagues </w:t>
      </w:r>
      <w:r w:rsidR="00CE1EBC" w:rsidRPr="00734A7D">
        <w:rPr>
          <w:rFonts w:ascii="Times New Roman" w:hAnsi="Times New Roman" w:cs="Times New Roman"/>
          <w:sz w:val="24"/>
          <w:szCs w:val="24"/>
        </w:rPr>
        <w:t>(Mattsson et al., 2019)</w:t>
      </w:r>
      <w:r w:rsidRPr="00734A7D">
        <w:rPr>
          <w:rFonts w:ascii="Times New Roman" w:hAnsi="Times New Roman" w:cs="Times New Roman"/>
          <w:sz w:val="24"/>
          <w:szCs w:val="24"/>
        </w:rPr>
        <w:t xml:space="preserve">, suggesting that regions susceptible early in the process of Aβ deposition continue to accumulate Aβ and are indicative of disease progression. The identified regions and </w:t>
      </w:r>
      <w:r w:rsidR="004D7F50" w:rsidRPr="00734A7D">
        <w:rPr>
          <w:rFonts w:ascii="Times New Roman" w:hAnsi="Times New Roman" w:cs="Times New Roman"/>
          <w:sz w:val="24"/>
          <w:szCs w:val="24"/>
        </w:rPr>
        <w:t>higher</w:t>
      </w:r>
      <w:r w:rsidR="005B5433" w:rsidRPr="00734A7D">
        <w:rPr>
          <w:rFonts w:ascii="Times New Roman" w:hAnsi="Times New Roman" w:cs="Times New Roman"/>
          <w:sz w:val="24"/>
          <w:szCs w:val="24"/>
        </w:rPr>
        <w:t xml:space="preserve"> </w:t>
      </w:r>
      <w:r w:rsidRPr="00734A7D">
        <w:rPr>
          <w:rFonts w:ascii="Times New Roman" w:hAnsi="Times New Roman" w:cs="Times New Roman"/>
          <w:sz w:val="24"/>
          <w:szCs w:val="24"/>
        </w:rPr>
        <w:t>age were especially predictive for fast progression</w:t>
      </w:r>
      <w:r w:rsidR="009A4B30" w:rsidRPr="00734A7D">
        <w:rPr>
          <w:rFonts w:ascii="Times New Roman" w:hAnsi="Times New Roman" w:cs="Times New Roman"/>
          <w:sz w:val="24"/>
          <w:szCs w:val="24"/>
        </w:rPr>
        <w:t xml:space="preserve"> from CN to MCI or AD</w:t>
      </w:r>
      <w:r w:rsidRPr="00734A7D">
        <w:rPr>
          <w:rFonts w:ascii="Times New Roman" w:hAnsi="Times New Roman" w:cs="Times New Roman"/>
          <w:sz w:val="24"/>
          <w:szCs w:val="24"/>
        </w:rPr>
        <w:t xml:space="preserve">, </w:t>
      </w:r>
      <w:r w:rsidR="005B5433" w:rsidRPr="00734A7D">
        <w:rPr>
          <w:rFonts w:ascii="Times New Roman" w:hAnsi="Times New Roman" w:cs="Times New Roman"/>
          <w:sz w:val="24"/>
          <w:szCs w:val="24"/>
        </w:rPr>
        <w:t xml:space="preserve">i.e. </w:t>
      </w:r>
      <w:r w:rsidRPr="00734A7D">
        <w:rPr>
          <w:rFonts w:ascii="Times New Roman" w:hAnsi="Times New Roman" w:cs="Times New Roman"/>
          <w:sz w:val="24"/>
          <w:szCs w:val="24"/>
        </w:rPr>
        <w:t xml:space="preserve">progression within the first 36 months after Aβ-positivity. The observed age effect is in line with previous studies reporting an increased risk of progression with advanced age </w:t>
      </w:r>
      <w:r w:rsidR="00CE1EBC" w:rsidRPr="00734A7D">
        <w:rPr>
          <w:rFonts w:ascii="Times New Roman" w:hAnsi="Times New Roman" w:cs="Times New Roman"/>
          <w:sz w:val="24"/>
          <w:szCs w:val="24"/>
        </w:rPr>
        <w:t>(Corrada et al., 2010; Oulhaj et al., 2009)</w:t>
      </w:r>
      <w:r w:rsidRPr="00734A7D">
        <w:rPr>
          <w:rFonts w:ascii="Times New Roman" w:hAnsi="Times New Roman" w:cs="Times New Roman"/>
          <w:sz w:val="24"/>
          <w:szCs w:val="24"/>
        </w:rPr>
        <w:t>.</w:t>
      </w:r>
      <w:r w:rsidRPr="00734A7D">
        <w:rPr>
          <w:rFonts w:ascii="Times New Roman" w:hAnsi="Times New Roman" w:cs="Times New Roman"/>
          <w:b/>
          <w:bCs/>
          <w:sz w:val="24"/>
          <w:szCs w:val="24"/>
        </w:rPr>
        <w:t xml:space="preserve"> </w:t>
      </w:r>
      <w:r w:rsidRPr="00734A7D">
        <w:rPr>
          <w:rFonts w:ascii="Times New Roman" w:hAnsi="Times New Roman" w:cs="Times New Roman"/>
          <w:sz w:val="24"/>
          <w:szCs w:val="24"/>
        </w:rPr>
        <w:t xml:space="preserve">Furthermore, age-associated slowing of clearance mechanisms of Aβ has been suggested to be a factor of increased progression </w:t>
      </w:r>
      <w:r w:rsidR="00CE1EBC" w:rsidRPr="00734A7D">
        <w:rPr>
          <w:rFonts w:ascii="Times New Roman" w:hAnsi="Times New Roman" w:cs="Times New Roman"/>
          <w:sz w:val="24"/>
          <w:szCs w:val="24"/>
        </w:rPr>
        <w:t>(Patterson et al., 2015)</w:t>
      </w:r>
      <w:r w:rsidRPr="00734A7D">
        <w:rPr>
          <w:rFonts w:ascii="Times New Roman" w:hAnsi="Times New Roman" w:cs="Times New Roman"/>
          <w:sz w:val="24"/>
          <w:szCs w:val="24"/>
        </w:rPr>
        <w:t>.</w:t>
      </w:r>
      <w:r w:rsidR="00487FF4" w:rsidRPr="00734A7D">
        <w:rPr>
          <w:rFonts w:ascii="Times New Roman" w:hAnsi="Times New Roman" w:cs="Times New Roman"/>
          <w:sz w:val="24"/>
          <w:szCs w:val="24"/>
        </w:rPr>
        <w:t xml:space="preserve"> As our analyses have shown, the identified regions are unique for disease progression stage, </w:t>
      </w:r>
      <w:r w:rsidR="00C45CD7" w:rsidRPr="00734A7D">
        <w:rPr>
          <w:rFonts w:ascii="Times New Roman" w:hAnsi="Times New Roman" w:cs="Times New Roman"/>
          <w:sz w:val="24"/>
          <w:szCs w:val="24"/>
        </w:rPr>
        <w:t>despite some</w:t>
      </w:r>
      <w:r w:rsidR="00487FF4" w:rsidRPr="00734A7D">
        <w:rPr>
          <w:rFonts w:ascii="Times New Roman" w:hAnsi="Times New Roman" w:cs="Times New Roman"/>
          <w:sz w:val="24"/>
          <w:szCs w:val="24"/>
        </w:rPr>
        <w:t xml:space="preserve"> regiona</w:t>
      </w:r>
      <w:r w:rsidR="00C45CD7" w:rsidRPr="00734A7D">
        <w:rPr>
          <w:rFonts w:ascii="Times New Roman" w:hAnsi="Times New Roman" w:cs="Times New Roman"/>
          <w:sz w:val="24"/>
          <w:szCs w:val="24"/>
        </w:rPr>
        <w:t xml:space="preserve">l </w:t>
      </w:r>
      <w:r w:rsidR="00487FF4" w:rsidRPr="00734A7D">
        <w:rPr>
          <w:rFonts w:ascii="Times New Roman" w:hAnsi="Times New Roman" w:cs="Times New Roman"/>
          <w:sz w:val="24"/>
          <w:szCs w:val="24"/>
        </w:rPr>
        <w:t xml:space="preserve">overlap (i.e., in the precuneus). The MCI-AD group showed a more widespread pattern of Aβ accumulation compared to the CN-MCI/AD group, demonstrating that regions such as the precuneus accumulate Aβ early and late during the disease progression, while regions such as </w:t>
      </w:r>
      <w:r w:rsidR="00EA0823" w:rsidRPr="00734A7D">
        <w:rPr>
          <w:rFonts w:ascii="Times New Roman" w:hAnsi="Times New Roman" w:cs="Times New Roman"/>
          <w:sz w:val="24"/>
          <w:szCs w:val="24"/>
        </w:rPr>
        <w:t xml:space="preserve">the </w:t>
      </w:r>
      <w:r w:rsidR="008C6CE2" w:rsidRPr="00734A7D">
        <w:rPr>
          <w:rFonts w:ascii="Times New Roman" w:hAnsi="Times New Roman" w:cs="Times New Roman"/>
          <w:sz w:val="24"/>
          <w:szCs w:val="24"/>
        </w:rPr>
        <w:t xml:space="preserve">medial frontal cortex or anterior insula show increased Aβ accumulation only </w:t>
      </w:r>
      <w:r w:rsidR="00C45CD7" w:rsidRPr="00734A7D">
        <w:rPr>
          <w:rFonts w:ascii="Times New Roman" w:hAnsi="Times New Roman" w:cs="Times New Roman"/>
          <w:sz w:val="24"/>
          <w:szCs w:val="24"/>
        </w:rPr>
        <w:t>in advanced disease stages</w:t>
      </w:r>
      <w:r w:rsidR="008C6CE2" w:rsidRPr="00734A7D">
        <w:rPr>
          <w:rFonts w:ascii="Times New Roman" w:hAnsi="Times New Roman" w:cs="Times New Roman"/>
          <w:sz w:val="24"/>
          <w:szCs w:val="24"/>
        </w:rPr>
        <w:t>.</w:t>
      </w:r>
    </w:p>
    <w:p w14:paraId="24AEB920" w14:textId="77DC10B3" w:rsidR="007D320F" w:rsidRPr="00734A7D" w:rsidRDefault="00712006" w:rsidP="007D320F">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lastRenderedPageBreak/>
        <w:t xml:space="preserve">However, </w:t>
      </w:r>
      <w:r w:rsidR="00CE6B18" w:rsidRPr="00734A7D">
        <w:rPr>
          <w:rFonts w:ascii="Times New Roman" w:hAnsi="Times New Roman" w:cs="Times New Roman"/>
          <w:sz w:val="24"/>
          <w:szCs w:val="24"/>
        </w:rPr>
        <w:t xml:space="preserve">not all of the </w:t>
      </w:r>
      <w:r w:rsidRPr="00734A7D">
        <w:rPr>
          <w:rFonts w:ascii="Times New Roman" w:hAnsi="Times New Roman" w:cs="Times New Roman"/>
          <w:sz w:val="24"/>
          <w:szCs w:val="24"/>
        </w:rPr>
        <w:t xml:space="preserve">identified </w:t>
      </w:r>
      <w:r w:rsidR="00E06AAC" w:rsidRPr="00734A7D">
        <w:rPr>
          <w:rFonts w:ascii="Times New Roman" w:hAnsi="Times New Roman" w:cs="Times New Roman"/>
          <w:sz w:val="24"/>
          <w:szCs w:val="24"/>
        </w:rPr>
        <w:t xml:space="preserve">regions </w:t>
      </w:r>
      <w:r w:rsidRPr="00734A7D">
        <w:rPr>
          <w:rFonts w:ascii="Times New Roman" w:hAnsi="Times New Roman" w:cs="Times New Roman"/>
          <w:sz w:val="24"/>
          <w:szCs w:val="24"/>
        </w:rPr>
        <w:t xml:space="preserve">in our analyses </w:t>
      </w:r>
      <w:r w:rsidR="00CE6B18" w:rsidRPr="00734A7D">
        <w:rPr>
          <w:rFonts w:ascii="Times New Roman" w:hAnsi="Times New Roman" w:cs="Times New Roman"/>
          <w:sz w:val="24"/>
          <w:szCs w:val="24"/>
        </w:rPr>
        <w:t xml:space="preserve">matched the regional stage phase 1 reported by </w:t>
      </w:r>
      <w:r w:rsidRPr="00734A7D">
        <w:rPr>
          <w:rFonts w:ascii="Times New Roman" w:hAnsi="Times New Roman" w:cs="Times New Roman"/>
          <w:sz w:val="24"/>
          <w:szCs w:val="24"/>
        </w:rPr>
        <w:t xml:space="preserve">Mattsson’s </w:t>
      </w:r>
      <w:r w:rsidR="00CE6B18" w:rsidRPr="00734A7D">
        <w:rPr>
          <w:rFonts w:ascii="Times New Roman" w:hAnsi="Times New Roman" w:cs="Times New Roman"/>
          <w:sz w:val="24"/>
          <w:szCs w:val="24"/>
        </w:rPr>
        <w:t>et al., (2019)</w:t>
      </w:r>
      <w:r w:rsidRPr="00734A7D">
        <w:rPr>
          <w:rFonts w:ascii="Times New Roman" w:hAnsi="Times New Roman" w:cs="Times New Roman"/>
          <w:sz w:val="24"/>
          <w:szCs w:val="24"/>
        </w:rPr>
        <w:t xml:space="preserve">. These differences might be explained by different methodological approaches between the current study and the staging approach </w:t>
      </w:r>
      <w:r w:rsidR="00CE1EBC" w:rsidRPr="00734A7D">
        <w:rPr>
          <w:rFonts w:ascii="Times New Roman" w:hAnsi="Times New Roman" w:cs="Times New Roman"/>
          <w:sz w:val="24"/>
          <w:szCs w:val="24"/>
        </w:rPr>
        <w:t>(Mattsson et al., 2019)</w:t>
      </w:r>
      <w:r w:rsidR="00174F74" w:rsidRPr="00734A7D">
        <w:rPr>
          <w:rFonts w:ascii="Times New Roman" w:hAnsi="Times New Roman" w:cs="Times New Roman"/>
          <w:sz w:val="24"/>
          <w:szCs w:val="24"/>
        </w:rPr>
        <w:t xml:space="preserve">. Whereas Mattsson and colleagues (2019) used </w:t>
      </w:r>
      <w:r w:rsidR="00CC19EB" w:rsidRPr="00734A7D">
        <w:rPr>
          <w:rFonts w:ascii="Times New Roman" w:hAnsi="Times New Roman" w:cs="Times New Roman"/>
          <w:sz w:val="24"/>
          <w:szCs w:val="24"/>
        </w:rPr>
        <w:t xml:space="preserve">CSF and PET data to build composite regions of Aβ-staging, our study used </w:t>
      </w:r>
      <w:r w:rsidR="00174F74" w:rsidRPr="00734A7D">
        <w:rPr>
          <w:rFonts w:ascii="Times New Roman" w:hAnsi="Times New Roman" w:cs="Times New Roman"/>
          <w:sz w:val="24"/>
          <w:szCs w:val="24"/>
        </w:rPr>
        <w:t>different clinical diagnoses in</w:t>
      </w:r>
      <w:r w:rsidR="004F271F" w:rsidRPr="00734A7D">
        <w:rPr>
          <w:rFonts w:ascii="Times New Roman" w:hAnsi="Times New Roman" w:cs="Times New Roman"/>
          <w:sz w:val="24"/>
          <w:szCs w:val="24"/>
        </w:rPr>
        <w:t xml:space="preserve"> addition to global measures of</w:t>
      </w:r>
      <w:r w:rsidRPr="00734A7D">
        <w:rPr>
          <w:rFonts w:ascii="Times New Roman" w:hAnsi="Times New Roman" w:cs="Times New Roman"/>
          <w:sz w:val="24"/>
          <w:szCs w:val="24"/>
        </w:rPr>
        <w:t xml:space="preserve"> </w:t>
      </w:r>
      <w:r w:rsidR="00174F74" w:rsidRPr="00734A7D">
        <w:rPr>
          <w:rFonts w:ascii="Times New Roman" w:hAnsi="Times New Roman" w:cs="Times New Roman"/>
          <w:sz w:val="24"/>
          <w:szCs w:val="24"/>
        </w:rPr>
        <w:t>Aβ-positivity as main inclusion criteria (i.e., CN, MCI, AD) to</w:t>
      </w:r>
      <w:r w:rsidR="00CC19EB" w:rsidRPr="00734A7D">
        <w:rPr>
          <w:rFonts w:ascii="Times New Roman" w:hAnsi="Times New Roman" w:cs="Times New Roman"/>
          <w:sz w:val="24"/>
          <w:szCs w:val="24"/>
        </w:rPr>
        <w:t xml:space="preserve"> identify regional differences. </w:t>
      </w:r>
      <w:r w:rsidR="00CE6B18" w:rsidRPr="00734A7D">
        <w:rPr>
          <w:rFonts w:ascii="Times New Roman" w:hAnsi="Times New Roman" w:cs="Times New Roman"/>
          <w:sz w:val="24"/>
          <w:szCs w:val="24"/>
        </w:rPr>
        <w:t>Overall, our</w:t>
      </w:r>
      <w:r w:rsidRPr="00734A7D">
        <w:rPr>
          <w:rFonts w:ascii="Times New Roman" w:hAnsi="Times New Roman" w:cs="Times New Roman"/>
          <w:sz w:val="24"/>
          <w:szCs w:val="24"/>
        </w:rPr>
        <w:t xml:space="preserve"> </w:t>
      </w:r>
      <w:r w:rsidR="00CE6B18" w:rsidRPr="00734A7D">
        <w:rPr>
          <w:rFonts w:ascii="Times New Roman" w:hAnsi="Times New Roman" w:cs="Times New Roman"/>
          <w:sz w:val="24"/>
          <w:szCs w:val="24"/>
        </w:rPr>
        <w:t xml:space="preserve">study </w:t>
      </w:r>
      <w:r w:rsidRPr="00734A7D">
        <w:rPr>
          <w:rFonts w:ascii="Times New Roman" w:hAnsi="Times New Roman" w:cs="Times New Roman"/>
          <w:sz w:val="24"/>
          <w:szCs w:val="24"/>
        </w:rPr>
        <w:t>demonstrate</w:t>
      </w:r>
      <w:r w:rsidR="004F271F" w:rsidRPr="00734A7D">
        <w:rPr>
          <w:rFonts w:ascii="Times New Roman" w:hAnsi="Times New Roman" w:cs="Times New Roman"/>
          <w:sz w:val="24"/>
          <w:szCs w:val="24"/>
        </w:rPr>
        <w:t>s</w:t>
      </w:r>
      <w:r w:rsidRPr="00734A7D">
        <w:rPr>
          <w:rFonts w:ascii="Times New Roman" w:hAnsi="Times New Roman" w:cs="Times New Roman"/>
          <w:sz w:val="24"/>
          <w:szCs w:val="24"/>
        </w:rPr>
        <w:t xml:space="preserve"> the utility of regional Aβ deposition in the prediction of disease progression, similar to the</w:t>
      </w:r>
      <w:r w:rsidR="00CE6B18" w:rsidRPr="00734A7D">
        <w:rPr>
          <w:rFonts w:ascii="Times New Roman" w:hAnsi="Times New Roman" w:cs="Times New Roman"/>
          <w:sz w:val="24"/>
          <w:szCs w:val="24"/>
        </w:rPr>
        <w:t>se</w:t>
      </w:r>
      <w:r w:rsidRPr="00734A7D">
        <w:rPr>
          <w:rFonts w:ascii="Times New Roman" w:hAnsi="Times New Roman" w:cs="Times New Roman"/>
          <w:sz w:val="24"/>
          <w:szCs w:val="24"/>
        </w:rPr>
        <w:t xml:space="preserve"> previously presented staging approaches </w:t>
      </w:r>
      <w:r w:rsidR="00CE1EBC" w:rsidRPr="00734A7D">
        <w:rPr>
          <w:rFonts w:ascii="Times New Roman" w:hAnsi="Times New Roman" w:cs="Times New Roman"/>
          <w:sz w:val="24"/>
          <w:szCs w:val="24"/>
        </w:rPr>
        <w:t>(Grothe et al., 2017; Mattsson et al., 2019)</w:t>
      </w:r>
      <w:r w:rsidRPr="00734A7D">
        <w:rPr>
          <w:rFonts w:ascii="Times New Roman" w:hAnsi="Times New Roman" w:cs="Times New Roman"/>
          <w:sz w:val="24"/>
          <w:szCs w:val="24"/>
        </w:rPr>
        <w:t xml:space="preserve">. </w:t>
      </w:r>
      <w:bookmarkStart w:id="18" w:name="_Hlk70412401"/>
      <w:r w:rsidR="002E5B1E" w:rsidRPr="00734A7D">
        <w:rPr>
          <w:rFonts w:ascii="Times New Roman" w:hAnsi="Times New Roman" w:cs="Times New Roman"/>
          <w:iCs/>
          <w:sz w:val="24"/>
          <w:szCs w:val="24"/>
        </w:rPr>
        <w:t>A study by Hanseeuw and colleagues (2018) included the striatum in their staging model and showed that the striatum is one of the last regions to accumulate Aβ while cortical regions start to accumulate Aβ first. In line with this, we were able to demonstrate that the striatum is a sensitive region for differentiating Aβ-positive CN-stables from CN-MCI/AD progressors. In later stages of the disease, other regions (i.e., anterior cingulate gyrus, medial frontal cortex, precuneus, transverse temporal gyrus, middle and superior temporal gyrus, posterior and anterior insula) seem to be more sensitive in differentiating Aβ-positive MCI-stables from MCI-AD progressors.</w:t>
      </w:r>
      <w:r w:rsidR="009F3D08" w:rsidRPr="00734A7D">
        <w:rPr>
          <w:rFonts w:ascii="Times New Roman" w:hAnsi="Times New Roman" w:cs="Times New Roman"/>
          <w:sz w:val="24"/>
          <w:szCs w:val="24"/>
        </w:rPr>
        <w:t xml:space="preserve"> </w:t>
      </w:r>
      <w:bookmarkEnd w:id="18"/>
    </w:p>
    <w:p w14:paraId="12F2AE63" w14:textId="66537467" w:rsidR="003151CC" w:rsidRPr="00734A7D" w:rsidRDefault="009F3D08" w:rsidP="007D320F">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O</w:t>
      </w:r>
      <w:r w:rsidR="00712006" w:rsidRPr="00734A7D">
        <w:rPr>
          <w:rFonts w:ascii="Times New Roman" w:hAnsi="Times New Roman" w:cs="Times New Roman"/>
          <w:sz w:val="24"/>
          <w:szCs w:val="24"/>
        </w:rPr>
        <w:t xml:space="preserve">ur results suggest that a binary distinction in Aβ-positives and negatives might not be sufficient to inform on differential disease trajectories and therefore underscores the importance of considering additional regional susceptibilities in the clinical setting. Given our results, we propose that different magnitudes of Aβ burden in specific regions, as recently suggested </w:t>
      </w:r>
      <w:r w:rsidR="00CE1EBC" w:rsidRPr="00734A7D">
        <w:rPr>
          <w:rFonts w:ascii="Times New Roman" w:hAnsi="Times New Roman" w:cs="Times New Roman"/>
          <w:sz w:val="24"/>
          <w:szCs w:val="24"/>
        </w:rPr>
        <w:t>(Bischof &amp; Jacobs, 2019)</w:t>
      </w:r>
      <w:r w:rsidR="00712006" w:rsidRPr="00734A7D">
        <w:rPr>
          <w:rFonts w:ascii="Times New Roman" w:hAnsi="Times New Roman" w:cs="Times New Roman"/>
          <w:sz w:val="24"/>
          <w:szCs w:val="24"/>
        </w:rPr>
        <w:t>, could be utilized to examine the future course of the disease progression. Furthermore, our sensitivity analysis revealed mostly similar regional patterns of Aβ burden with our main analysis, indicating that the variability in follow-up length between progressors and non-progressors did not significantly influence the r</w:t>
      </w:r>
      <w:r w:rsidR="003151CC" w:rsidRPr="00734A7D">
        <w:rPr>
          <w:rFonts w:ascii="Times New Roman" w:hAnsi="Times New Roman" w:cs="Times New Roman"/>
          <w:sz w:val="24"/>
          <w:szCs w:val="24"/>
        </w:rPr>
        <w:t>e</w:t>
      </w:r>
      <w:r w:rsidR="00712006" w:rsidRPr="00734A7D">
        <w:rPr>
          <w:rFonts w:ascii="Times New Roman" w:hAnsi="Times New Roman" w:cs="Times New Roman"/>
          <w:sz w:val="24"/>
          <w:szCs w:val="24"/>
        </w:rPr>
        <w:t>sults.</w:t>
      </w:r>
      <w:r w:rsidR="00C407EF" w:rsidRPr="00734A7D">
        <w:rPr>
          <w:rFonts w:ascii="Times New Roman" w:hAnsi="Times New Roman" w:cs="Times New Roman"/>
          <w:sz w:val="24"/>
          <w:szCs w:val="24"/>
        </w:rPr>
        <w:t xml:space="preserve"> </w:t>
      </w:r>
    </w:p>
    <w:p w14:paraId="2AA57B1F" w14:textId="2A97A355" w:rsidR="00BD4575" w:rsidRPr="00734A7D" w:rsidRDefault="001F5ACA" w:rsidP="001F5ACA">
      <w:pPr>
        <w:spacing w:line="480" w:lineRule="auto"/>
        <w:rPr>
          <w:rFonts w:ascii="Times New Roman" w:hAnsi="Times New Roman" w:cs="Times New Roman"/>
          <w:sz w:val="24"/>
          <w:szCs w:val="24"/>
        </w:rPr>
      </w:pPr>
      <w:r w:rsidRPr="00734A7D">
        <w:rPr>
          <w:rFonts w:ascii="Times New Roman" w:hAnsi="Times New Roman" w:cs="Times New Roman"/>
          <w:sz w:val="24"/>
          <w:szCs w:val="24"/>
        </w:rPr>
        <w:lastRenderedPageBreak/>
        <w:tab/>
      </w:r>
      <w:r w:rsidR="00FB64A1" w:rsidRPr="00734A7D">
        <w:rPr>
          <w:rFonts w:ascii="Times New Roman" w:hAnsi="Times New Roman" w:cs="Times New Roman"/>
          <w:sz w:val="24"/>
          <w:szCs w:val="24"/>
        </w:rPr>
        <w:t>Our r</w:t>
      </w:r>
      <w:r w:rsidR="002440C7" w:rsidRPr="00734A7D">
        <w:rPr>
          <w:rFonts w:ascii="Times New Roman" w:hAnsi="Times New Roman" w:cs="Times New Roman"/>
          <w:sz w:val="24"/>
          <w:szCs w:val="24"/>
        </w:rPr>
        <w:t xml:space="preserve">esults may have consequences for the clinical reading of </w:t>
      </w:r>
      <w:r w:rsidR="00906128" w:rsidRPr="00734A7D">
        <w:rPr>
          <w:rFonts w:ascii="Times New Roman" w:hAnsi="Times New Roman" w:cs="Times New Roman"/>
          <w:sz w:val="24"/>
          <w:szCs w:val="24"/>
        </w:rPr>
        <w:t>Aβ</w:t>
      </w:r>
      <w:r w:rsidR="00985737" w:rsidRPr="00734A7D">
        <w:rPr>
          <w:rFonts w:ascii="Times New Roman" w:hAnsi="Times New Roman" w:cs="Times New Roman"/>
          <w:sz w:val="24"/>
          <w:szCs w:val="24"/>
        </w:rPr>
        <w:t>-PET</w:t>
      </w:r>
      <w:r w:rsidR="002440C7" w:rsidRPr="00734A7D">
        <w:rPr>
          <w:rFonts w:ascii="Times New Roman" w:hAnsi="Times New Roman" w:cs="Times New Roman"/>
          <w:sz w:val="24"/>
          <w:szCs w:val="24"/>
        </w:rPr>
        <w:t xml:space="preserve">. </w:t>
      </w:r>
      <w:r w:rsidRPr="00734A7D">
        <w:rPr>
          <w:rFonts w:ascii="Times New Roman" w:hAnsi="Times New Roman" w:cs="Times New Roman"/>
          <w:sz w:val="24"/>
          <w:szCs w:val="24"/>
        </w:rPr>
        <w:t xml:space="preserve">In addition to assessing global </w:t>
      </w:r>
      <w:r w:rsidR="00906128" w:rsidRPr="00734A7D">
        <w:rPr>
          <w:rFonts w:ascii="Times New Roman" w:hAnsi="Times New Roman" w:cs="Times New Roman"/>
          <w:sz w:val="24"/>
          <w:szCs w:val="24"/>
        </w:rPr>
        <w:t>Aβ</w:t>
      </w:r>
      <w:r w:rsidRPr="00734A7D">
        <w:rPr>
          <w:rFonts w:ascii="Times New Roman" w:hAnsi="Times New Roman" w:cs="Times New Roman"/>
          <w:sz w:val="24"/>
          <w:szCs w:val="24"/>
        </w:rPr>
        <w:t xml:space="preserve"> burden visually, a regional reading approach using the identified cluster </w:t>
      </w:r>
      <w:r w:rsidR="00CE6B18" w:rsidRPr="00734A7D">
        <w:rPr>
          <w:rFonts w:ascii="Times New Roman" w:hAnsi="Times New Roman" w:cs="Times New Roman"/>
          <w:sz w:val="24"/>
          <w:szCs w:val="24"/>
        </w:rPr>
        <w:t xml:space="preserve">here, </w:t>
      </w:r>
      <w:r w:rsidRPr="00734A7D">
        <w:rPr>
          <w:rFonts w:ascii="Times New Roman" w:hAnsi="Times New Roman" w:cs="Times New Roman"/>
          <w:sz w:val="24"/>
          <w:szCs w:val="24"/>
        </w:rPr>
        <w:t xml:space="preserve">could potentially assist the clinician in evaluating a clinical prognosis for the patient. From a clinical point of view, prognosis and disease trajectories are the most frequent questions posed by caregivers and patients, therefore replicating these results is crucial from many perspectives. </w:t>
      </w:r>
    </w:p>
    <w:p w14:paraId="04DA78DA" w14:textId="77777777" w:rsidR="00712006" w:rsidRPr="00734A7D" w:rsidRDefault="00712006" w:rsidP="00712006">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4.2 Hemispheric asymmetry of Aβ deposition</w:t>
      </w:r>
    </w:p>
    <w:p w14:paraId="5902D97F" w14:textId="2DFB0D55" w:rsidR="000159B7" w:rsidRPr="00734A7D" w:rsidRDefault="00712006" w:rsidP="00AF3EDF">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lang w:val="en-GB"/>
        </w:rPr>
        <w:t xml:space="preserve">Interestingly, when assessing the regional </w:t>
      </w:r>
      <w:r w:rsidRPr="00734A7D">
        <w:rPr>
          <w:rFonts w:ascii="Times New Roman" w:hAnsi="Times New Roman" w:cs="Times New Roman"/>
          <w:sz w:val="24"/>
          <w:szCs w:val="24"/>
        </w:rPr>
        <w:t>Aβ</w:t>
      </w:r>
      <w:r w:rsidRPr="00734A7D">
        <w:rPr>
          <w:rFonts w:ascii="Times New Roman" w:hAnsi="Times New Roman" w:cs="Times New Roman"/>
          <w:sz w:val="24"/>
          <w:szCs w:val="24"/>
          <w:lang w:val="en-GB"/>
        </w:rPr>
        <w:t xml:space="preserve"> distribution patterns, a particular hemispheric dominance was observed dependent on progression type (i.e., CN-MCI/AD or MCI-AD). </w:t>
      </w:r>
      <w:r w:rsidRPr="00734A7D">
        <w:rPr>
          <w:rFonts w:ascii="Times New Roman" w:hAnsi="Times New Roman" w:cs="Times New Roman"/>
          <w:sz w:val="24"/>
          <w:szCs w:val="24"/>
        </w:rPr>
        <w:t>Here we showed that Aβ deposition appears to preferentially start in the right hemisphere in prodromal stages of the disease, ultimately spreading to regions in the left hemisphere with disease progression, suggesting that left-hemispheric Aβ accumulation is associated with cognitive decline</w:t>
      </w:r>
      <w:r w:rsidR="00BE7C5C" w:rsidRPr="00734A7D">
        <w:rPr>
          <w:rFonts w:ascii="Times New Roman" w:hAnsi="Times New Roman" w:cs="Times New Roman"/>
          <w:sz w:val="24"/>
          <w:szCs w:val="24"/>
        </w:rPr>
        <w:t>.</w:t>
      </w:r>
      <w:r w:rsidRPr="00734A7D">
        <w:rPr>
          <w:rFonts w:ascii="Times New Roman" w:hAnsi="Times New Roman" w:cs="Times New Roman"/>
          <w:sz w:val="24"/>
          <w:szCs w:val="24"/>
        </w:rPr>
        <w:t xml:space="preserve"> </w:t>
      </w:r>
      <w:r w:rsidR="007E5973" w:rsidRPr="00734A7D">
        <w:rPr>
          <w:rFonts w:ascii="Times New Roman" w:hAnsi="Times New Roman" w:cs="Times New Roman"/>
          <w:sz w:val="24"/>
          <w:szCs w:val="24"/>
        </w:rPr>
        <w:t xml:space="preserve">Most people show a left-hemispheric dominance, meaning that right-hemispheric pathology remains unnoticed </w:t>
      </w:r>
      <w:r w:rsidR="000159B7" w:rsidRPr="00734A7D">
        <w:rPr>
          <w:rFonts w:ascii="Times New Roman" w:hAnsi="Times New Roman" w:cs="Times New Roman"/>
          <w:sz w:val="24"/>
          <w:szCs w:val="24"/>
        </w:rPr>
        <w:t>for a longer time</w:t>
      </w:r>
      <w:r w:rsidR="00D55ACF" w:rsidRPr="00734A7D">
        <w:rPr>
          <w:rFonts w:ascii="Times New Roman" w:hAnsi="Times New Roman" w:cs="Times New Roman"/>
          <w:sz w:val="24"/>
          <w:szCs w:val="24"/>
        </w:rPr>
        <w:t xml:space="preserve"> due to </w:t>
      </w:r>
      <w:r w:rsidR="00DF458F" w:rsidRPr="00734A7D">
        <w:rPr>
          <w:rFonts w:ascii="Times New Roman" w:hAnsi="Times New Roman" w:cs="Times New Roman"/>
          <w:sz w:val="24"/>
          <w:szCs w:val="24"/>
        </w:rPr>
        <w:t>compensatory mechanisms of the left hemisphere</w:t>
      </w:r>
      <w:r w:rsidR="007E5973" w:rsidRPr="00734A7D">
        <w:rPr>
          <w:rFonts w:ascii="Times New Roman" w:hAnsi="Times New Roman" w:cs="Times New Roman"/>
          <w:sz w:val="24"/>
          <w:szCs w:val="24"/>
        </w:rPr>
        <w:t xml:space="preserve">. However, pathology does not have to start in the right hemisphere </w:t>
      </w:r>
      <w:r w:rsidR="000159B7" w:rsidRPr="00734A7D">
        <w:rPr>
          <w:rFonts w:ascii="Times New Roman" w:hAnsi="Times New Roman" w:cs="Times New Roman"/>
          <w:sz w:val="24"/>
          <w:szCs w:val="24"/>
        </w:rPr>
        <w:t>nor does right-hemispheric pathology reflect early disease stages</w:t>
      </w:r>
      <w:r w:rsidR="007E5973" w:rsidRPr="00734A7D">
        <w:rPr>
          <w:rFonts w:ascii="Times New Roman" w:hAnsi="Times New Roman" w:cs="Times New Roman"/>
          <w:sz w:val="24"/>
          <w:szCs w:val="24"/>
        </w:rPr>
        <w:t>.</w:t>
      </w:r>
      <w:r w:rsidR="000159B7" w:rsidRPr="00734A7D">
        <w:rPr>
          <w:rFonts w:ascii="Times New Roman" w:hAnsi="Times New Roman" w:cs="Times New Roman"/>
          <w:sz w:val="24"/>
          <w:szCs w:val="24"/>
        </w:rPr>
        <w:t xml:space="preserve"> Left-hemispheric dominance of Aβ deposition may become symptomatic faster than right-hemispheric dominance. With this, it appears that left-hemispheric dominance of Aβ deposition </w:t>
      </w:r>
      <w:r w:rsidR="002D5198" w:rsidRPr="00734A7D">
        <w:rPr>
          <w:rFonts w:ascii="Times New Roman" w:hAnsi="Times New Roman" w:cs="Times New Roman"/>
          <w:sz w:val="24"/>
          <w:szCs w:val="24"/>
        </w:rPr>
        <w:t>is associated wit</w:t>
      </w:r>
      <w:r w:rsidR="00D54973" w:rsidRPr="00734A7D">
        <w:rPr>
          <w:rFonts w:ascii="Times New Roman" w:hAnsi="Times New Roman" w:cs="Times New Roman"/>
          <w:sz w:val="24"/>
          <w:szCs w:val="24"/>
        </w:rPr>
        <w:t>h advanced disease progression.</w:t>
      </w:r>
    </w:p>
    <w:p w14:paraId="666F7730" w14:textId="7203554C" w:rsidR="003151CC" w:rsidRPr="00734A7D" w:rsidRDefault="000159B7" w:rsidP="00AF3EDF">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 </w:t>
      </w:r>
      <w:r w:rsidR="00712006" w:rsidRPr="00734A7D">
        <w:rPr>
          <w:rFonts w:ascii="Times New Roman" w:hAnsi="Times New Roman" w:cs="Times New Roman"/>
          <w:sz w:val="24"/>
          <w:szCs w:val="24"/>
        </w:rPr>
        <w:t xml:space="preserve">Aβ deposition follows a specific pattern of spread over time </w:t>
      </w:r>
      <w:r w:rsidR="00CE1EBC" w:rsidRPr="00734A7D">
        <w:rPr>
          <w:rFonts w:ascii="Times New Roman" w:hAnsi="Times New Roman" w:cs="Times New Roman"/>
          <w:sz w:val="24"/>
          <w:szCs w:val="24"/>
        </w:rPr>
        <w:t>(Thal et al., 2002)</w:t>
      </w:r>
      <w:r w:rsidR="00712006" w:rsidRPr="00734A7D">
        <w:rPr>
          <w:rFonts w:ascii="Times New Roman" w:hAnsi="Times New Roman" w:cs="Times New Roman"/>
          <w:sz w:val="24"/>
          <w:szCs w:val="24"/>
        </w:rPr>
        <w:t xml:space="preserve">. </w:t>
      </w:r>
      <w:r w:rsidR="00F049DF" w:rsidRPr="00734A7D">
        <w:rPr>
          <w:rFonts w:ascii="Times New Roman" w:hAnsi="Times New Roman" w:cs="Times New Roman"/>
          <w:sz w:val="24"/>
          <w:szCs w:val="24"/>
        </w:rPr>
        <w:t>T</w:t>
      </w:r>
      <w:r w:rsidR="00712006" w:rsidRPr="00734A7D">
        <w:rPr>
          <w:rFonts w:ascii="Times New Roman" w:hAnsi="Times New Roman" w:cs="Times New Roman"/>
          <w:sz w:val="24"/>
          <w:szCs w:val="24"/>
        </w:rPr>
        <w:t xml:space="preserve">o our knowledge, only few studies have reported a hemispheric asymmetry of Aβ deposition, among which a study by Frings and colleagues </w:t>
      </w:r>
      <w:r w:rsidR="00CE1EBC" w:rsidRPr="00734A7D">
        <w:rPr>
          <w:rFonts w:ascii="Times New Roman" w:hAnsi="Times New Roman" w:cs="Times New Roman"/>
          <w:sz w:val="24"/>
          <w:szCs w:val="24"/>
        </w:rPr>
        <w:t>(Frings et al., 2015)</w:t>
      </w:r>
      <w:r w:rsidR="00712006" w:rsidRPr="00734A7D">
        <w:rPr>
          <w:rFonts w:ascii="Times New Roman" w:hAnsi="Times New Roman" w:cs="Times New Roman"/>
          <w:sz w:val="24"/>
          <w:szCs w:val="24"/>
        </w:rPr>
        <w:t xml:space="preserve">. They observed a leftward asymmetry of Aβ associated with more severe cognitive impairment in language performance, while there was a rightward asymmetry of Aβ associated with decline in tasks </w:t>
      </w:r>
      <w:r w:rsidR="00712006" w:rsidRPr="00734A7D">
        <w:rPr>
          <w:rFonts w:ascii="Times New Roman" w:hAnsi="Times New Roman" w:cs="Times New Roman"/>
          <w:sz w:val="24"/>
          <w:szCs w:val="24"/>
        </w:rPr>
        <w:lastRenderedPageBreak/>
        <w:t xml:space="preserve">involving visuo-spatial perception. The previous inability to detect this relationship has often been ascribed to a plateau of Aβ deposition, which has been reached while degeneration and the progression of cognitive deficits. This is mostly true for studies using post-mortem Aβ pathology and </w:t>
      </w:r>
      <w:r w:rsidR="00712006" w:rsidRPr="00734A7D">
        <w:rPr>
          <w:rFonts w:ascii="Times New Roman" w:hAnsi="Times New Roman" w:cs="Times New Roman"/>
          <w:i/>
          <w:iCs/>
          <w:sz w:val="24"/>
          <w:szCs w:val="24"/>
        </w:rPr>
        <w:t xml:space="preserve">in vivo </w:t>
      </w:r>
      <w:r w:rsidR="00712006" w:rsidRPr="00734A7D">
        <w:rPr>
          <w:rFonts w:ascii="Times New Roman" w:hAnsi="Times New Roman" w:cs="Times New Roman"/>
          <w:sz w:val="24"/>
          <w:szCs w:val="24"/>
        </w:rPr>
        <w:t xml:space="preserve">cognition, while the current study investigated both </w:t>
      </w:r>
      <w:r w:rsidR="00712006" w:rsidRPr="00734A7D">
        <w:rPr>
          <w:rFonts w:ascii="Times New Roman" w:hAnsi="Times New Roman" w:cs="Times New Roman"/>
          <w:i/>
          <w:iCs/>
          <w:sz w:val="24"/>
          <w:szCs w:val="24"/>
        </w:rPr>
        <w:t xml:space="preserve">in vivo </w:t>
      </w:r>
      <w:r w:rsidR="00712006" w:rsidRPr="00734A7D">
        <w:rPr>
          <w:rFonts w:ascii="Times New Roman" w:hAnsi="Times New Roman" w:cs="Times New Roman"/>
          <w:sz w:val="24"/>
          <w:szCs w:val="24"/>
        </w:rPr>
        <w:t>Aβ pathology and cognition. Our results on hemispheric asymmetry</w:t>
      </w:r>
      <w:r w:rsidR="00712006" w:rsidRPr="00734A7D">
        <w:rPr>
          <w:rFonts w:ascii="Times New Roman" w:hAnsi="Times New Roman" w:cs="Times New Roman"/>
          <w:sz w:val="24"/>
          <w:szCs w:val="24"/>
          <w:lang w:val="en-GB"/>
        </w:rPr>
        <w:t xml:space="preserve"> of </w:t>
      </w:r>
      <w:r w:rsidR="00712006" w:rsidRPr="00734A7D">
        <w:rPr>
          <w:rFonts w:ascii="Times New Roman" w:hAnsi="Times New Roman" w:cs="Times New Roman"/>
          <w:sz w:val="24"/>
          <w:szCs w:val="24"/>
        </w:rPr>
        <w:t xml:space="preserve">Aβ deposition specifically highlight the advantage of </w:t>
      </w:r>
      <w:r w:rsidR="00712006" w:rsidRPr="00734A7D">
        <w:rPr>
          <w:rFonts w:ascii="Times New Roman" w:hAnsi="Times New Roman" w:cs="Times New Roman"/>
          <w:i/>
          <w:iCs/>
          <w:sz w:val="24"/>
          <w:szCs w:val="24"/>
        </w:rPr>
        <w:t>in vivo</w:t>
      </w:r>
      <w:r w:rsidR="00712006" w:rsidRPr="00734A7D">
        <w:rPr>
          <w:rFonts w:ascii="Times New Roman" w:hAnsi="Times New Roman" w:cs="Times New Roman"/>
          <w:sz w:val="24"/>
          <w:szCs w:val="24"/>
        </w:rPr>
        <w:t xml:space="preserve"> studies and suggest that hemispheric asymmetry of Aβ may be a valuable biomarker in the future that needs further validation</w:t>
      </w:r>
      <w:r w:rsidR="003151CC" w:rsidRPr="00734A7D">
        <w:rPr>
          <w:rFonts w:ascii="Times New Roman" w:hAnsi="Times New Roman" w:cs="Times New Roman"/>
          <w:sz w:val="24"/>
          <w:szCs w:val="24"/>
        </w:rPr>
        <w:t>.</w:t>
      </w:r>
      <w:r w:rsidR="00985737" w:rsidRPr="00734A7D">
        <w:rPr>
          <w:rFonts w:ascii="Times New Roman" w:hAnsi="Times New Roman" w:cs="Times New Roman"/>
          <w:sz w:val="24"/>
          <w:szCs w:val="24"/>
        </w:rPr>
        <w:t xml:space="preserve"> </w:t>
      </w:r>
    </w:p>
    <w:p w14:paraId="58B8D607" w14:textId="77777777" w:rsidR="00712006" w:rsidRPr="00734A7D" w:rsidRDefault="00712006" w:rsidP="00712006">
      <w:pPr>
        <w:spacing w:line="480" w:lineRule="auto"/>
        <w:rPr>
          <w:rFonts w:ascii="Times New Roman" w:hAnsi="Times New Roman" w:cs="Times New Roman"/>
          <w:sz w:val="24"/>
          <w:szCs w:val="24"/>
        </w:rPr>
      </w:pPr>
      <w:r w:rsidRPr="00734A7D">
        <w:rPr>
          <w:rFonts w:ascii="Times New Roman" w:hAnsi="Times New Roman" w:cs="Times New Roman"/>
          <w:b/>
          <w:bCs/>
          <w:sz w:val="24"/>
          <w:szCs w:val="24"/>
        </w:rPr>
        <w:t>4.3 Contribution of APOE4 carriership and CSF biomarkers</w:t>
      </w:r>
    </w:p>
    <w:p w14:paraId="45F79FD0" w14:textId="47C80BCF" w:rsidR="00712006" w:rsidRPr="00734A7D" w:rsidRDefault="00712006" w:rsidP="00712006">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Even though APOE4 carriership was only trend significant in the CN-CN vs. CN-MCI/AD analysis, it was a significant predictor for progression after 3 years of Aβ-positivity. It is thought that APOE4 carriership is particularly associated with the accumulation and initial spread of Aβ across cortical regions </w:t>
      </w:r>
      <w:r w:rsidR="00CE1EBC" w:rsidRPr="00734A7D">
        <w:rPr>
          <w:rFonts w:ascii="Times New Roman" w:hAnsi="Times New Roman" w:cs="Times New Roman"/>
          <w:sz w:val="24"/>
          <w:szCs w:val="24"/>
        </w:rPr>
        <w:t>(Kanekiyo et al., 2014)</w:t>
      </w:r>
      <w:r w:rsidRPr="00734A7D">
        <w:rPr>
          <w:rFonts w:ascii="Times New Roman" w:hAnsi="Times New Roman" w:cs="Times New Roman"/>
          <w:sz w:val="24"/>
          <w:szCs w:val="24"/>
        </w:rPr>
        <w:t xml:space="preserve">. However, once Aβ has accumulated across the brain, APOE4 carriership may be less relevant for cognitive decline, and tau pathology or neurodegeneration subsequently become more prevalent </w:t>
      </w:r>
      <w:r w:rsidR="00CE1EBC" w:rsidRPr="00734A7D">
        <w:rPr>
          <w:rFonts w:ascii="Times New Roman" w:hAnsi="Times New Roman" w:cs="Times New Roman"/>
          <w:sz w:val="24"/>
          <w:szCs w:val="24"/>
        </w:rPr>
        <w:t>(Morris et al., 2010)</w:t>
      </w:r>
      <w:r w:rsidRPr="00734A7D">
        <w:rPr>
          <w:rFonts w:ascii="Times New Roman" w:hAnsi="Times New Roman" w:cs="Times New Roman"/>
          <w:sz w:val="24"/>
          <w:szCs w:val="24"/>
        </w:rPr>
        <w:t xml:space="preserve">. Accordingly, APOE4 carriership predicted slow progression from CN to MCI/AD, hence progression after 36 months of Aβ-positivity. Since APOE4 carriership is a long-life risk factor for AD, potential compensatory mechanisms to Aβ accumulation may have developed earlier in life in APOE4-carriers compared to non-carriers, thus explaining the generally slower trajectories to advanced disease stages in this cohort. Current evidence on the relationship of differential trajectories of cognitive decline and APOE4 carriership is mixed. Some studies suggest APOE4 carriership accelerates cognitive decline </w:t>
      </w:r>
      <w:r w:rsidR="00CE1EBC" w:rsidRPr="00734A7D">
        <w:rPr>
          <w:rFonts w:ascii="Times New Roman" w:hAnsi="Times New Roman" w:cs="Times New Roman"/>
          <w:sz w:val="24"/>
          <w:szCs w:val="24"/>
        </w:rPr>
        <w:t>(Craft et al., 1998; Hirono et al., 2003)</w:t>
      </w:r>
      <w:r w:rsidRPr="00734A7D">
        <w:rPr>
          <w:rFonts w:ascii="Times New Roman" w:hAnsi="Times New Roman" w:cs="Times New Roman"/>
          <w:sz w:val="24"/>
          <w:szCs w:val="24"/>
        </w:rPr>
        <w:t xml:space="preserve">, while others suggest APOE4 carriership decelerates cognitive decline </w:t>
      </w:r>
      <w:r w:rsidR="00CE1EBC" w:rsidRPr="00734A7D">
        <w:rPr>
          <w:rFonts w:ascii="Times New Roman" w:hAnsi="Times New Roman" w:cs="Times New Roman"/>
          <w:sz w:val="24"/>
          <w:szCs w:val="24"/>
        </w:rPr>
        <w:t>(Frisoni et al., 1995; Stern et al., 1997)</w:t>
      </w:r>
      <w:r w:rsidRPr="00734A7D">
        <w:rPr>
          <w:rFonts w:ascii="Times New Roman" w:hAnsi="Times New Roman" w:cs="Times New Roman"/>
          <w:sz w:val="24"/>
          <w:szCs w:val="24"/>
        </w:rPr>
        <w:t xml:space="preserve">. Yet, others report no significant effect of APOE4 carriership on cognitive trajectories </w:t>
      </w:r>
      <w:r w:rsidR="00CE1EBC" w:rsidRPr="00734A7D">
        <w:rPr>
          <w:rFonts w:ascii="Times New Roman" w:hAnsi="Times New Roman" w:cs="Times New Roman"/>
          <w:sz w:val="24"/>
          <w:szCs w:val="24"/>
        </w:rPr>
        <w:t>(Kleiman et al., 2006)</w:t>
      </w:r>
      <w:r w:rsidRPr="00734A7D">
        <w:rPr>
          <w:rFonts w:ascii="Times New Roman" w:hAnsi="Times New Roman" w:cs="Times New Roman"/>
          <w:sz w:val="24"/>
          <w:szCs w:val="24"/>
        </w:rPr>
        <w:t xml:space="preserve">. However, most of the studies investigating this relationship showed different methodological approaches or </w:t>
      </w:r>
      <w:r w:rsidRPr="00734A7D">
        <w:rPr>
          <w:rFonts w:ascii="Times New Roman" w:hAnsi="Times New Roman" w:cs="Times New Roman"/>
          <w:sz w:val="24"/>
          <w:szCs w:val="24"/>
        </w:rPr>
        <w:lastRenderedPageBreak/>
        <w:t>included different populations (</w:t>
      </w:r>
      <w:r w:rsidR="00535966" w:rsidRPr="00734A7D">
        <w:rPr>
          <w:rFonts w:ascii="Times New Roman" w:hAnsi="Times New Roman" w:cs="Times New Roman"/>
          <w:sz w:val="24"/>
          <w:szCs w:val="24"/>
        </w:rPr>
        <w:t>i.e.,</w:t>
      </w:r>
      <w:r w:rsidRPr="00734A7D">
        <w:rPr>
          <w:rFonts w:ascii="Times New Roman" w:hAnsi="Times New Roman" w:cs="Times New Roman"/>
          <w:sz w:val="24"/>
          <w:szCs w:val="24"/>
        </w:rPr>
        <w:t xml:space="preserve"> early vs. late-onset AD patients), which could explain the </w:t>
      </w:r>
      <w:r w:rsidR="00CE6B18" w:rsidRPr="00734A7D">
        <w:rPr>
          <w:rFonts w:ascii="Times New Roman" w:hAnsi="Times New Roman" w:cs="Times New Roman"/>
          <w:sz w:val="24"/>
          <w:szCs w:val="24"/>
        </w:rPr>
        <w:t xml:space="preserve">mixed </w:t>
      </w:r>
      <w:r w:rsidRPr="00734A7D">
        <w:rPr>
          <w:rFonts w:ascii="Times New Roman" w:hAnsi="Times New Roman" w:cs="Times New Roman"/>
          <w:sz w:val="24"/>
          <w:szCs w:val="24"/>
        </w:rPr>
        <w:t>result</w:t>
      </w:r>
      <w:r w:rsidR="00CE6B18" w:rsidRPr="00734A7D">
        <w:rPr>
          <w:rFonts w:ascii="Times New Roman" w:hAnsi="Times New Roman" w:cs="Times New Roman"/>
          <w:sz w:val="24"/>
          <w:szCs w:val="24"/>
        </w:rPr>
        <w:t xml:space="preserve"> pattern</w:t>
      </w:r>
      <w:r w:rsidRPr="00734A7D">
        <w:rPr>
          <w:rFonts w:ascii="Times New Roman" w:hAnsi="Times New Roman" w:cs="Times New Roman"/>
          <w:sz w:val="24"/>
          <w:szCs w:val="24"/>
        </w:rPr>
        <w:t xml:space="preserve">. Notably, our results suggest that processes leading to the onset of AD may differ from those that determine its clinical onset. APOE4 carriers may have a greater risk for AD but show a different effect on processes determining the rate of progression than APOE4 non-carriers. </w:t>
      </w:r>
    </w:p>
    <w:p w14:paraId="47BABD2A" w14:textId="03B51FCF" w:rsidR="00712006" w:rsidRPr="00734A7D" w:rsidRDefault="00712006" w:rsidP="00712006">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Interestingly, none of the CSF variables was significant in predicting progression from CN to MCI or AD. </w:t>
      </w:r>
      <w:r w:rsidR="00E06AAC" w:rsidRPr="00734A7D">
        <w:rPr>
          <w:rFonts w:ascii="Times New Roman" w:hAnsi="Times New Roman" w:cs="Times New Roman"/>
          <w:sz w:val="24"/>
          <w:szCs w:val="24"/>
        </w:rPr>
        <w:t>However, a</w:t>
      </w:r>
      <w:r w:rsidR="00BE7C5C" w:rsidRPr="00734A7D">
        <w:rPr>
          <w:rFonts w:ascii="Times New Roman" w:hAnsi="Times New Roman" w:cs="Times New Roman"/>
          <w:sz w:val="24"/>
          <w:szCs w:val="24"/>
        </w:rPr>
        <w:t xml:space="preserve">mong the </w:t>
      </w:r>
      <w:r w:rsidRPr="00734A7D">
        <w:rPr>
          <w:rFonts w:ascii="Times New Roman" w:hAnsi="Times New Roman" w:cs="Times New Roman"/>
          <w:sz w:val="24"/>
          <w:szCs w:val="24"/>
        </w:rPr>
        <w:t xml:space="preserve">CSF </w:t>
      </w:r>
      <w:r w:rsidR="00BE7C5C" w:rsidRPr="00734A7D">
        <w:rPr>
          <w:rFonts w:ascii="Times New Roman" w:hAnsi="Times New Roman" w:cs="Times New Roman"/>
          <w:sz w:val="24"/>
          <w:szCs w:val="24"/>
        </w:rPr>
        <w:t xml:space="preserve">biomarkers, CSF </w:t>
      </w:r>
      <w:r w:rsidRPr="00734A7D">
        <w:rPr>
          <w:rFonts w:ascii="Times New Roman" w:hAnsi="Times New Roman" w:cs="Times New Roman"/>
          <w:sz w:val="24"/>
          <w:szCs w:val="24"/>
        </w:rPr>
        <w:t>Aβ predict</w:t>
      </w:r>
      <w:r w:rsidR="00BE7C5C" w:rsidRPr="00734A7D">
        <w:rPr>
          <w:rFonts w:ascii="Times New Roman" w:hAnsi="Times New Roman" w:cs="Times New Roman"/>
          <w:sz w:val="24"/>
          <w:szCs w:val="24"/>
        </w:rPr>
        <w:t>ed</w:t>
      </w:r>
      <w:r w:rsidRPr="00734A7D">
        <w:rPr>
          <w:rFonts w:ascii="Times New Roman" w:hAnsi="Times New Roman" w:cs="Times New Roman"/>
          <w:sz w:val="24"/>
          <w:szCs w:val="24"/>
        </w:rPr>
        <w:t xml:space="preserve"> progression from MCI to AD in both our main and sensitivity analyses. This suggests that </w:t>
      </w:r>
      <w:r w:rsidRPr="00734A7D">
        <w:rPr>
          <w:rFonts w:ascii="Times New Roman" w:hAnsi="Times New Roman" w:cs="Times New Roman"/>
          <w:i/>
          <w:iCs/>
          <w:sz w:val="24"/>
          <w:szCs w:val="24"/>
        </w:rPr>
        <w:t>in vivo</w:t>
      </w:r>
      <w:r w:rsidRPr="00734A7D">
        <w:rPr>
          <w:rFonts w:ascii="Times New Roman" w:hAnsi="Times New Roman" w:cs="Times New Roman"/>
          <w:sz w:val="24"/>
          <w:szCs w:val="24"/>
        </w:rPr>
        <w:t xml:space="preserve"> assessments of regional Aβ may be a better predictor for </w:t>
      </w:r>
      <w:r w:rsidR="00AE505D" w:rsidRPr="00734A7D">
        <w:rPr>
          <w:rFonts w:ascii="Times New Roman" w:hAnsi="Times New Roman" w:cs="Times New Roman"/>
          <w:sz w:val="24"/>
          <w:szCs w:val="24"/>
        </w:rPr>
        <w:t xml:space="preserve">particularly short-term </w:t>
      </w:r>
      <w:r w:rsidRPr="00734A7D">
        <w:rPr>
          <w:rFonts w:ascii="Times New Roman" w:hAnsi="Times New Roman" w:cs="Times New Roman"/>
          <w:sz w:val="24"/>
          <w:szCs w:val="24"/>
        </w:rPr>
        <w:t xml:space="preserve">progression than single CSF measures of Aβ or tau, once individuals have reached Aβ-positivity. </w:t>
      </w:r>
      <w:r w:rsidR="009309AD" w:rsidRPr="00734A7D">
        <w:rPr>
          <w:rFonts w:ascii="Times New Roman" w:hAnsi="Times New Roman" w:cs="Times New Roman"/>
          <w:sz w:val="24"/>
          <w:szCs w:val="24"/>
        </w:rPr>
        <w:t xml:space="preserve">CSF markers turn positive earlier in the disease cascade than </w:t>
      </w:r>
      <w:r w:rsidR="009309AD" w:rsidRPr="00734A7D">
        <w:rPr>
          <w:rFonts w:ascii="Times New Roman" w:hAnsi="Times New Roman" w:cs="Times New Roman"/>
          <w:i/>
          <w:sz w:val="24"/>
          <w:szCs w:val="24"/>
        </w:rPr>
        <w:t>in vivo</w:t>
      </w:r>
      <w:r w:rsidR="009309AD" w:rsidRPr="00734A7D">
        <w:rPr>
          <w:rFonts w:ascii="Times New Roman" w:hAnsi="Times New Roman" w:cs="Times New Roman"/>
          <w:sz w:val="24"/>
          <w:szCs w:val="24"/>
        </w:rPr>
        <w:t xml:space="preserve"> PET imaging, limiting their value for short-term prediction of clinical progression</w:t>
      </w:r>
      <w:r w:rsidRPr="00734A7D">
        <w:rPr>
          <w:rFonts w:ascii="Times New Roman" w:hAnsi="Times New Roman" w:cs="Times New Roman"/>
          <w:sz w:val="24"/>
          <w:szCs w:val="24"/>
        </w:rPr>
        <w:t xml:space="preserve"> </w:t>
      </w:r>
      <w:r w:rsidR="00CE1EBC" w:rsidRPr="00734A7D">
        <w:rPr>
          <w:rFonts w:ascii="Times New Roman" w:hAnsi="Times New Roman" w:cs="Times New Roman"/>
          <w:sz w:val="24"/>
          <w:szCs w:val="24"/>
        </w:rPr>
        <w:t>(Fagan et al., 2006; Fagan et al., 2009)</w:t>
      </w:r>
      <w:r w:rsidRPr="00734A7D">
        <w:rPr>
          <w:rFonts w:ascii="Times New Roman" w:hAnsi="Times New Roman" w:cs="Times New Roman"/>
          <w:sz w:val="24"/>
          <w:szCs w:val="24"/>
        </w:rPr>
        <w:t>. In contrast, ratios of specific CSF biomarkers (i.e., Aβ42/Aβ40 or Aβ42/p-tau) were successful in predicting progression from prodromal to clinical AD</w:t>
      </w:r>
      <w:r w:rsidR="00AE505D" w:rsidRPr="00734A7D">
        <w:rPr>
          <w:rFonts w:ascii="Times New Roman" w:hAnsi="Times New Roman" w:cs="Times New Roman"/>
          <w:sz w:val="24"/>
          <w:szCs w:val="24"/>
        </w:rPr>
        <w:t>,</w:t>
      </w:r>
      <w:r w:rsidRPr="00734A7D">
        <w:rPr>
          <w:rFonts w:ascii="Times New Roman" w:hAnsi="Times New Roman" w:cs="Times New Roman"/>
          <w:sz w:val="24"/>
          <w:szCs w:val="24"/>
        </w:rPr>
        <w:t xml:space="preserve"> potentially suggesting that ratio information rather than single parameters derived from CSF have more predictive value, specifically in Aβ-positive individuals </w:t>
      </w:r>
      <w:r w:rsidR="00CE1EBC" w:rsidRPr="00734A7D">
        <w:rPr>
          <w:rFonts w:ascii="Times New Roman" w:hAnsi="Times New Roman" w:cs="Times New Roman"/>
          <w:sz w:val="24"/>
          <w:szCs w:val="24"/>
        </w:rPr>
        <w:t>(Ferreira et al., 2014)</w:t>
      </w:r>
      <w:r w:rsidRPr="00734A7D">
        <w:rPr>
          <w:rFonts w:ascii="Times New Roman" w:hAnsi="Times New Roman" w:cs="Times New Roman"/>
          <w:sz w:val="24"/>
          <w:szCs w:val="24"/>
        </w:rPr>
        <w:t xml:space="preserve">. Despite CSF measures being more easily available than </w:t>
      </w:r>
      <w:r w:rsidRPr="00734A7D">
        <w:rPr>
          <w:rFonts w:ascii="Times New Roman" w:hAnsi="Times New Roman" w:cs="Times New Roman"/>
          <w:i/>
          <w:iCs/>
          <w:sz w:val="24"/>
          <w:szCs w:val="24"/>
        </w:rPr>
        <w:t xml:space="preserve">in vivo </w:t>
      </w:r>
      <w:r w:rsidRPr="00734A7D">
        <w:rPr>
          <w:rFonts w:ascii="Times New Roman" w:hAnsi="Times New Roman" w:cs="Times New Roman"/>
          <w:sz w:val="24"/>
          <w:szCs w:val="24"/>
        </w:rPr>
        <w:t>PET imaging, our results have shown that Aβ PET is a more informative measure for the prognostic prediction of progression to MCI or AD than single CSF measures, especially in already Aβ-positive individuals.</w:t>
      </w:r>
    </w:p>
    <w:p w14:paraId="61F7BC7D" w14:textId="77777777" w:rsidR="00712006" w:rsidRPr="00734A7D" w:rsidRDefault="00712006" w:rsidP="00712006">
      <w:pPr>
        <w:spacing w:before="240" w:line="480" w:lineRule="auto"/>
        <w:rPr>
          <w:rFonts w:ascii="Times New Roman" w:hAnsi="Times New Roman" w:cs="Times New Roman"/>
          <w:b/>
          <w:bCs/>
          <w:sz w:val="24"/>
          <w:szCs w:val="24"/>
        </w:rPr>
      </w:pPr>
      <w:r w:rsidRPr="00734A7D">
        <w:rPr>
          <w:rFonts w:ascii="Times New Roman" w:hAnsi="Times New Roman" w:cs="Times New Roman"/>
          <w:b/>
          <w:bCs/>
          <w:sz w:val="24"/>
          <w:szCs w:val="24"/>
        </w:rPr>
        <w:t>4.4 Limitations and future directions</w:t>
      </w:r>
    </w:p>
    <w:p w14:paraId="25DC0D45" w14:textId="14C6D66B" w:rsidR="003151CC" w:rsidRPr="00734A7D" w:rsidRDefault="00171119" w:rsidP="003151CC">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Some limitations of this study need to be mentioned. First, d</w:t>
      </w:r>
      <w:r w:rsidR="00712006" w:rsidRPr="00734A7D">
        <w:rPr>
          <w:rFonts w:ascii="Times New Roman" w:hAnsi="Times New Roman" w:cs="Times New Roman"/>
          <w:sz w:val="24"/>
          <w:szCs w:val="24"/>
        </w:rPr>
        <w:t xml:space="preserve">ue to the use of publicly available data from the ADNI database, the analyses were limited to patients for whom a complete dataset for all the assessed predictive variables were available. Nevertheless, </w:t>
      </w:r>
      <w:bookmarkStart w:id="19" w:name="_Hlk70510396"/>
      <w:r w:rsidR="00712006" w:rsidRPr="00734A7D">
        <w:rPr>
          <w:rFonts w:ascii="Times New Roman" w:hAnsi="Times New Roman" w:cs="Times New Roman"/>
          <w:sz w:val="24"/>
          <w:szCs w:val="24"/>
        </w:rPr>
        <w:t xml:space="preserve">for the </w:t>
      </w:r>
      <w:r w:rsidR="00712006" w:rsidRPr="00734A7D">
        <w:rPr>
          <w:rFonts w:ascii="Times New Roman" w:hAnsi="Times New Roman" w:cs="Times New Roman"/>
          <w:sz w:val="24"/>
          <w:szCs w:val="24"/>
        </w:rPr>
        <w:lastRenderedPageBreak/>
        <w:t>longitudinal design of our approach, and the holistic biomarker model we interrogated, the number of subjects is sufficient, but warrants replication in a different cohort</w:t>
      </w:r>
      <w:r w:rsidR="004616B1" w:rsidRPr="00734A7D">
        <w:rPr>
          <w:rFonts w:ascii="Times New Roman" w:hAnsi="Times New Roman" w:cs="Times New Roman"/>
          <w:sz w:val="24"/>
          <w:szCs w:val="24"/>
        </w:rPr>
        <w:t>,</w:t>
      </w:r>
      <w:r w:rsidR="00443040" w:rsidRPr="00734A7D">
        <w:rPr>
          <w:rFonts w:ascii="Times New Roman" w:hAnsi="Times New Roman" w:cs="Times New Roman"/>
          <w:sz w:val="24"/>
          <w:szCs w:val="24"/>
        </w:rPr>
        <w:t xml:space="preserve"> as well as using different fluorine labelled tracers for Aβ quantification</w:t>
      </w:r>
      <w:bookmarkEnd w:id="19"/>
      <w:r w:rsidR="00712006" w:rsidRPr="00734A7D">
        <w:rPr>
          <w:rFonts w:ascii="Times New Roman" w:hAnsi="Times New Roman" w:cs="Times New Roman"/>
          <w:sz w:val="24"/>
          <w:szCs w:val="24"/>
        </w:rPr>
        <w:t xml:space="preserve">. </w:t>
      </w:r>
      <w:r w:rsidR="004616B1" w:rsidRPr="00734A7D">
        <w:rPr>
          <w:rFonts w:ascii="Times New Roman" w:hAnsi="Times New Roman" w:cs="Times New Roman"/>
          <w:sz w:val="24"/>
          <w:szCs w:val="24"/>
        </w:rPr>
        <w:t>Nevertheless, w</w:t>
      </w:r>
      <w:r w:rsidR="00712006" w:rsidRPr="00734A7D">
        <w:rPr>
          <w:rFonts w:ascii="Times New Roman" w:hAnsi="Times New Roman" w:cs="Times New Roman"/>
          <w:sz w:val="24"/>
          <w:szCs w:val="24"/>
        </w:rPr>
        <w:t xml:space="preserve">e had the privilege to use this unique dataset, containing a variety of longitudinal data, whereas other datasets still need to advance to show a comparable sample size. </w:t>
      </w:r>
      <w:r w:rsidR="005C1133" w:rsidRPr="00734A7D">
        <w:rPr>
          <w:rFonts w:ascii="Times New Roman" w:hAnsi="Times New Roman" w:cs="Times New Roman"/>
          <w:sz w:val="24"/>
          <w:szCs w:val="24"/>
        </w:rPr>
        <w:t>Secondly</w:t>
      </w:r>
      <w:r w:rsidRPr="00734A7D">
        <w:rPr>
          <w:rFonts w:ascii="Times New Roman" w:hAnsi="Times New Roman" w:cs="Times New Roman"/>
          <w:sz w:val="24"/>
          <w:szCs w:val="24"/>
        </w:rPr>
        <w:t xml:space="preserve">, </w:t>
      </w:r>
      <w:r w:rsidR="005C1133" w:rsidRPr="00734A7D">
        <w:rPr>
          <w:rFonts w:ascii="Times New Roman" w:hAnsi="Times New Roman" w:cs="Times New Roman"/>
          <w:sz w:val="24"/>
          <w:szCs w:val="24"/>
        </w:rPr>
        <w:t>we used the same cohort for the extraction of regional Aβ patterns and the investigation of the utility of these regions in predicting progression to advanced disease stages. Therefore, f</w:t>
      </w:r>
      <w:r w:rsidRPr="00734A7D">
        <w:rPr>
          <w:rFonts w:ascii="Times New Roman" w:hAnsi="Times New Roman" w:cs="Times New Roman"/>
          <w:sz w:val="24"/>
          <w:szCs w:val="24"/>
        </w:rPr>
        <w:t xml:space="preserve">uture studies may want to use these findings to validate the predictive value of the identified regions in a different cohort. </w:t>
      </w:r>
      <w:r w:rsidR="005C1133" w:rsidRPr="00734A7D">
        <w:rPr>
          <w:rFonts w:ascii="Times New Roman" w:hAnsi="Times New Roman" w:cs="Times New Roman"/>
          <w:sz w:val="24"/>
          <w:szCs w:val="24"/>
        </w:rPr>
        <w:t>Also</w:t>
      </w:r>
      <w:r w:rsidR="00712006" w:rsidRPr="00734A7D">
        <w:rPr>
          <w:rFonts w:ascii="Times New Roman" w:hAnsi="Times New Roman" w:cs="Times New Roman"/>
          <w:sz w:val="24"/>
          <w:szCs w:val="24"/>
        </w:rPr>
        <w:t>, we only included single CSF measures instead of ratio information</w:t>
      </w:r>
      <w:r w:rsidR="00570D54" w:rsidRPr="00734A7D">
        <w:rPr>
          <w:rFonts w:ascii="Times New Roman" w:hAnsi="Times New Roman" w:cs="Times New Roman"/>
          <w:sz w:val="24"/>
          <w:szCs w:val="24"/>
        </w:rPr>
        <w:t xml:space="preserve"> due to missing data from the ADNI database</w:t>
      </w:r>
      <w:r w:rsidR="00712006" w:rsidRPr="00734A7D">
        <w:rPr>
          <w:rFonts w:ascii="Times New Roman" w:hAnsi="Times New Roman" w:cs="Times New Roman"/>
          <w:sz w:val="24"/>
          <w:szCs w:val="24"/>
        </w:rPr>
        <w:t xml:space="preserve">. Inclusion of these could have resulted in more conclusive results </w:t>
      </w:r>
      <w:r w:rsidR="00D4684C" w:rsidRPr="00734A7D">
        <w:rPr>
          <w:rFonts w:ascii="Times New Roman" w:hAnsi="Times New Roman" w:cs="Times New Roman"/>
          <w:sz w:val="24"/>
          <w:szCs w:val="24"/>
        </w:rPr>
        <w:t xml:space="preserve">on the contribution of CSF biomarker </w:t>
      </w:r>
      <w:r w:rsidR="00712006" w:rsidRPr="00734A7D">
        <w:rPr>
          <w:rFonts w:ascii="Times New Roman" w:hAnsi="Times New Roman" w:cs="Times New Roman"/>
          <w:sz w:val="24"/>
          <w:szCs w:val="24"/>
        </w:rPr>
        <w:t xml:space="preserve">and should be addressed in future work. </w:t>
      </w:r>
      <w:r w:rsidR="0057129D" w:rsidRPr="00734A7D">
        <w:rPr>
          <w:rFonts w:ascii="Times New Roman" w:hAnsi="Times New Roman" w:cs="Times New Roman"/>
          <w:sz w:val="24"/>
          <w:szCs w:val="24"/>
        </w:rPr>
        <w:t xml:space="preserve">Thirdly, results regarding the asymmetry pattern observed when comparing Figure 1A and 1B should be taken with caution, since they are not based on longitudinal follow-up analyses in the same individuals. Even though our study points towards this hemispheric asymmetry, more longitudinal studies are needed to validate </w:t>
      </w:r>
      <w:r w:rsidR="004616B1" w:rsidRPr="00734A7D">
        <w:rPr>
          <w:rFonts w:ascii="Times New Roman" w:hAnsi="Times New Roman" w:cs="Times New Roman"/>
          <w:sz w:val="24"/>
          <w:szCs w:val="24"/>
        </w:rPr>
        <w:t>these</w:t>
      </w:r>
      <w:r w:rsidR="0057129D" w:rsidRPr="00734A7D">
        <w:rPr>
          <w:rFonts w:ascii="Times New Roman" w:hAnsi="Times New Roman" w:cs="Times New Roman"/>
          <w:sz w:val="24"/>
          <w:szCs w:val="24"/>
        </w:rPr>
        <w:t xml:space="preserve"> results. </w:t>
      </w:r>
      <w:r w:rsidR="00712006" w:rsidRPr="00734A7D">
        <w:rPr>
          <w:rFonts w:ascii="Times New Roman" w:hAnsi="Times New Roman" w:cs="Times New Roman"/>
          <w:sz w:val="24"/>
          <w:szCs w:val="24"/>
        </w:rPr>
        <w:t xml:space="preserve">Lastly, ADNI represents a trial population, including primarily amnestic MCI patients, rather than a clinical heterogeneous cohort. Thus, constructing models for Aβ PET in ADNI might have resulted in an overestimation of the effect of Aβ PET as found in amnestic MCI patients. However, especially amnestic MCI patients may benefit from these </w:t>
      </w:r>
      <w:r w:rsidR="00F272CD" w:rsidRPr="00734A7D">
        <w:rPr>
          <w:rFonts w:ascii="Times New Roman" w:hAnsi="Times New Roman" w:cs="Times New Roman"/>
          <w:sz w:val="24"/>
          <w:szCs w:val="24"/>
        </w:rPr>
        <w:t>results,</w:t>
      </w:r>
      <w:r w:rsidR="00712006" w:rsidRPr="00734A7D">
        <w:rPr>
          <w:rFonts w:ascii="Times New Roman" w:hAnsi="Times New Roman" w:cs="Times New Roman"/>
          <w:sz w:val="24"/>
          <w:szCs w:val="24"/>
        </w:rPr>
        <w:t xml:space="preserve"> as clinicians may be able to provide disease prognoses by evaluation of Aβ burden in the identified regions. </w:t>
      </w:r>
    </w:p>
    <w:p w14:paraId="3E6717C0" w14:textId="154C54E3" w:rsidR="00DE0CAF" w:rsidRPr="00734A7D" w:rsidRDefault="00DE0CAF" w:rsidP="004616B1">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The current </w:t>
      </w:r>
      <w:r w:rsidR="00D4684C" w:rsidRPr="00734A7D">
        <w:rPr>
          <w:rFonts w:ascii="Times New Roman" w:hAnsi="Times New Roman" w:cs="Times New Roman"/>
          <w:sz w:val="24"/>
          <w:szCs w:val="24"/>
        </w:rPr>
        <w:t xml:space="preserve">recommendation </w:t>
      </w:r>
      <w:r w:rsidRPr="00734A7D">
        <w:rPr>
          <w:rFonts w:ascii="Times New Roman" w:hAnsi="Times New Roman" w:cs="Times New Roman"/>
          <w:sz w:val="24"/>
          <w:szCs w:val="24"/>
        </w:rPr>
        <w:t xml:space="preserve">of Aβ-PET imaging does </w:t>
      </w:r>
      <w:r w:rsidR="00D4684C" w:rsidRPr="00734A7D">
        <w:rPr>
          <w:rFonts w:ascii="Times New Roman" w:hAnsi="Times New Roman" w:cs="Times New Roman"/>
          <w:sz w:val="24"/>
          <w:szCs w:val="24"/>
        </w:rPr>
        <w:t xml:space="preserve">not suggest a </w:t>
      </w:r>
      <w:r w:rsidRPr="00734A7D">
        <w:rPr>
          <w:rFonts w:ascii="Times New Roman" w:hAnsi="Times New Roman" w:cs="Times New Roman"/>
          <w:sz w:val="24"/>
          <w:szCs w:val="24"/>
        </w:rPr>
        <w:t>clinical value for Aβ-positiv</w:t>
      </w:r>
      <w:r w:rsidR="00D4684C" w:rsidRPr="00734A7D">
        <w:rPr>
          <w:rFonts w:ascii="Times New Roman" w:hAnsi="Times New Roman" w:cs="Times New Roman"/>
          <w:sz w:val="24"/>
          <w:szCs w:val="24"/>
        </w:rPr>
        <w:t>ity in asymptomatic individuals</w:t>
      </w:r>
      <w:r w:rsidRPr="00734A7D">
        <w:rPr>
          <w:rFonts w:ascii="Times New Roman" w:hAnsi="Times New Roman" w:cs="Times New Roman"/>
          <w:sz w:val="24"/>
          <w:szCs w:val="24"/>
        </w:rPr>
        <w:t xml:space="preserve">. However, our results have shown that Aβ-PET imaging is able to </w:t>
      </w:r>
      <w:r w:rsidR="00D4684C" w:rsidRPr="00734A7D">
        <w:rPr>
          <w:rFonts w:ascii="Times New Roman" w:hAnsi="Times New Roman" w:cs="Times New Roman"/>
          <w:sz w:val="24"/>
          <w:szCs w:val="24"/>
        </w:rPr>
        <w:t xml:space="preserve">provide information on </w:t>
      </w:r>
      <w:r w:rsidRPr="00734A7D">
        <w:rPr>
          <w:rFonts w:ascii="Times New Roman" w:hAnsi="Times New Roman" w:cs="Times New Roman"/>
          <w:sz w:val="24"/>
          <w:szCs w:val="24"/>
        </w:rPr>
        <w:t>the imminent cognitive decline and trajectory in the short-and long run</w:t>
      </w:r>
      <w:r w:rsidR="00D4684C" w:rsidRPr="00734A7D">
        <w:rPr>
          <w:rFonts w:ascii="Times New Roman" w:hAnsi="Times New Roman" w:cs="Times New Roman"/>
          <w:sz w:val="24"/>
          <w:szCs w:val="24"/>
        </w:rPr>
        <w:t xml:space="preserve"> in even asymptomatic individuals (i</w:t>
      </w:r>
      <w:r w:rsidR="00B40AE7" w:rsidRPr="00734A7D">
        <w:rPr>
          <w:rFonts w:ascii="Times New Roman" w:hAnsi="Times New Roman" w:cs="Times New Roman"/>
          <w:sz w:val="24"/>
          <w:szCs w:val="24"/>
        </w:rPr>
        <w:t>.</w:t>
      </w:r>
      <w:r w:rsidR="00D4684C" w:rsidRPr="00734A7D">
        <w:rPr>
          <w:rFonts w:ascii="Times New Roman" w:hAnsi="Times New Roman" w:cs="Times New Roman"/>
          <w:sz w:val="24"/>
          <w:szCs w:val="24"/>
        </w:rPr>
        <w:t>e., CN)</w:t>
      </w:r>
      <w:r w:rsidRPr="00734A7D">
        <w:rPr>
          <w:rFonts w:ascii="Times New Roman" w:hAnsi="Times New Roman" w:cs="Times New Roman"/>
          <w:sz w:val="24"/>
          <w:szCs w:val="24"/>
        </w:rPr>
        <w:t xml:space="preserve">. Results may aid in identifying those Aβ-positive healthy individuals who are at an increased risk for progression </w:t>
      </w:r>
      <w:r w:rsidRPr="00734A7D">
        <w:rPr>
          <w:rFonts w:ascii="Times New Roman" w:hAnsi="Times New Roman" w:cs="Times New Roman"/>
          <w:sz w:val="24"/>
          <w:szCs w:val="24"/>
        </w:rPr>
        <w:lastRenderedPageBreak/>
        <w:t xml:space="preserve">and </w:t>
      </w:r>
      <w:r w:rsidR="00D4684C" w:rsidRPr="00734A7D">
        <w:rPr>
          <w:rFonts w:ascii="Times New Roman" w:hAnsi="Times New Roman" w:cs="Times New Roman"/>
          <w:sz w:val="24"/>
          <w:szCs w:val="24"/>
        </w:rPr>
        <w:t xml:space="preserve">could potentially lead </w:t>
      </w:r>
      <w:r w:rsidRPr="00734A7D">
        <w:rPr>
          <w:rFonts w:ascii="Times New Roman" w:hAnsi="Times New Roman" w:cs="Times New Roman"/>
          <w:sz w:val="24"/>
          <w:szCs w:val="24"/>
        </w:rPr>
        <w:t xml:space="preserve">to </w:t>
      </w:r>
      <w:r w:rsidR="00D4684C" w:rsidRPr="00734A7D">
        <w:rPr>
          <w:rFonts w:ascii="Times New Roman" w:hAnsi="Times New Roman" w:cs="Times New Roman"/>
          <w:sz w:val="24"/>
          <w:szCs w:val="24"/>
        </w:rPr>
        <w:t xml:space="preserve">a </w:t>
      </w:r>
      <w:r w:rsidRPr="00734A7D">
        <w:rPr>
          <w:rFonts w:ascii="Times New Roman" w:hAnsi="Times New Roman" w:cs="Times New Roman"/>
          <w:sz w:val="24"/>
          <w:szCs w:val="24"/>
        </w:rPr>
        <w:t>revis</w:t>
      </w:r>
      <w:r w:rsidR="00D4684C" w:rsidRPr="00734A7D">
        <w:rPr>
          <w:rFonts w:ascii="Times New Roman" w:hAnsi="Times New Roman" w:cs="Times New Roman"/>
          <w:sz w:val="24"/>
          <w:szCs w:val="24"/>
        </w:rPr>
        <w:t>ion of</w:t>
      </w:r>
      <w:r w:rsidRPr="00734A7D">
        <w:rPr>
          <w:rFonts w:ascii="Times New Roman" w:hAnsi="Times New Roman" w:cs="Times New Roman"/>
          <w:sz w:val="24"/>
          <w:szCs w:val="24"/>
        </w:rPr>
        <w:t xml:space="preserve"> the current diagnostic </w:t>
      </w:r>
      <w:r w:rsidR="00D4684C" w:rsidRPr="00734A7D">
        <w:rPr>
          <w:rFonts w:ascii="Times New Roman" w:hAnsi="Times New Roman" w:cs="Times New Roman"/>
          <w:sz w:val="24"/>
          <w:szCs w:val="24"/>
        </w:rPr>
        <w:t xml:space="preserve">guidelines </w:t>
      </w:r>
      <w:r w:rsidRPr="00734A7D">
        <w:rPr>
          <w:rFonts w:ascii="Times New Roman" w:hAnsi="Times New Roman" w:cs="Times New Roman"/>
          <w:sz w:val="24"/>
          <w:szCs w:val="24"/>
        </w:rPr>
        <w:t xml:space="preserve">of Aβ-PET imaging. </w:t>
      </w:r>
    </w:p>
    <w:p w14:paraId="3B919F33" w14:textId="77777777" w:rsidR="00712006" w:rsidRPr="00734A7D" w:rsidRDefault="00712006" w:rsidP="00712006">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4.5 Conclusion</w:t>
      </w:r>
    </w:p>
    <w:p w14:paraId="5C952A96" w14:textId="5764C299" w:rsidR="00712006" w:rsidRPr="00734A7D" w:rsidRDefault="00712006" w:rsidP="00712006">
      <w:pPr>
        <w:spacing w:before="240" w:after="0" w:line="480" w:lineRule="auto"/>
        <w:rPr>
          <w:rFonts w:ascii="Times New Roman" w:hAnsi="Times New Roman" w:cs="Times New Roman"/>
          <w:sz w:val="24"/>
          <w:szCs w:val="24"/>
        </w:rPr>
      </w:pPr>
      <w:r w:rsidRPr="00734A7D">
        <w:rPr>
          <w:rFonts w:ascii="Times New Roman" w:hAnsi="Times New Roman" w:cs="Times New Roman"/>
          <w:sz w:val="24"/>
          <w:szCs w:val="24"/>
        </w:rPr>
        <w:t xml:space="preserve"> </w:t>
      </w:r>
      <w:r w:rsidRPr="00734A7D">
        <w:rPr>
          <w:rFonts w:ascii="Times New Roman" w:hAnsi="Times New Roman" w:cs="Times New Roman"/>
          <w:sz w:val="24"/>
          <w:szCs w:val="24"/>
        </w:rPr>
        <w:tab/>
        <w:t>Regional Aβ burden appears to be the most sensitive prognostic biomarker of progression in comparison to multiple other biomarkers in both Aβ-positive CNs and MCIs. These findings suggest that regional Aβ burden may aid in the future to assess the short-term prognostic trajectories for imminent cognitive decline in preclinical and prodromal patients on the AD continuum.</w:t>
      </w:r>
      <w:bookmarkEnd w:id="17"/>
      <w:r w:rsidR="002133F2" w:rsidRPr="00734A7D">
        <w:rPr>
          <w:rFonts w:ascii="Times New Roman" w:hAnsi="Times New Roman" w:cs="Times New Roman"/>
          <w:sz w:val="24"/>
          <w:szCs w:val="24"/>
        </w:rPr>
        <w:t xml:space="preserve"> </w:t>
      </w:r>
      <w:r w:rsidR="00005271" w:rsidRPr="00734A7D">
        <w:rPr>
          <w:rFonts w:ascii="Times New Roman" w:hAnsi="Times New Roman" w:cs="Times New Roman"/>
          <w:sz w:val="24"/>
          <w:szCs w:val="24"/>
        </w:rPr>
        <w:t xml:space="preserve">Especially Aβ-positive healthy individuals may benefit from these </w:t>
      </w:r>
      <w:r w:rsidR="00B40AE7" w:rsidRPr="00734A7D">
        <w:rPr>
          <w:rFonts w:ascii="Times New Roman" w:hAnsi="Times New Roman" w:cs="Times New Roman"/>
          <w:sz w:val="24"/>
          <w:szCs w:val="24"/>
        </w:rPr>
        <w:t>results,</w:t>
      </w:r>
      <w:r w:rsidR="00005271" w:rsidRPr="00734A7D">
        <w:rPr>
          <w:rFonts w:ascii="Times New Roman" w:hAnsi="Times New Roman" w:cs="Times New Roman"/>
          <w:sz w:val="24"/>
          <w:szCs w:val="24"/>
        </w:rPr>
        <w:t xml:space="preserve"> as current Aβ-PET </w:t>
      </w:r>
      <w:r w:rsidR="00D4684C" w:rsidRPr="00734A7D">
        <w:rPr>
          <w:rFonts w:ascii="Times New Roman" w:hAnsi="Times New Roman" w:cs="Times New Roman"/>
          <w:sz w:val="24"/>
          <w:szCs w:val="24"/>
        </w:rPr>
        <w:t>guidelines</w:t>
      </w:r>
      <w:r w:rsidR="00005271" w:rsidRPr="00734A7D">
        <w:rPr>
          <w:rFonts w:ascii="Times New Roman" w:hAnsi="Times New Roman" w:cs="Times New Roman"/>
          <w:sz w:val="24"/>
          <w:szCs w:val="24"/>
        </w:rPr>
        <w:t xml:space="preserve"> </w:t>
      </w:r>
      <w:r w:rsidR="00D4684C" w:rsidRPr="00734A7D">
        <w:rPr>
          <w:rFonts w:ascii="Times New Roman" w:hAnsi="Times New Roman" w:cs="Times New Roman"/>
          <w:sz w:val="24"/>
          <w:szCs w:val="24"/>
        </w:rPr>
        <w:t xml:space="preserve">do not include this cohort as a target population. </w:t>
      </w:r>
    </w:p>
    <w:p w14:paraId="618FAC22" w14:textId="77777777" w:rsidR="00712006" w:rsidRPr="00734A7D" w:rsidRDefault="00712006" w:rsidP="00712006">
      <w:pPr>
        <w:spacing w:before="240" w:after="0" w:line="480" w:lineRule="auto"/>
        <w:rPr>
          <w:rFonts w:ascii="Times New Roman" w:hAnsi="Times New Roman" w:cs="Times New Roman"/>
          <w:sz w:val="24"/>
          <w:szCs w:val="24"/>
        </w:rPr>
      </w:pPr>
      <w:r w:rsidRPr="00734A7D">
        <w:rPr>
          <w:rFonts w:ascii="Times New Roman" w:hAnsi="Times New Roman" w:cs="Times New Roman"/>
          <w:b/>
          <w:bCs/>
          <w:sz w:val="24"/>
          <w:szCs w:val="24"/>
        </w:rPr>
        <w:t>Acknowledgements</w:t>
      </w:r>
    </w:p>
    <w:p w14:paraId="239AF469" w14:textId="6112275A" w:rsidR="00BA4145" w:rsidRPr="00734A7D" w:rsidRDefault="00712006" w:rsidP="007716A1">
      <w:pPr>
        <w:spacing w:before="240" w:after="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GNB received funding from Alzheimer Forschung Initiative e.V., Germany (AFI K1707).  In addition, this study was supported by the German Research Foundation (DFG, DR 445/9-1). Data collection and sharing for this project was funded by the Alzheimer's Disease Neuroimaging Initiative (ADNI) (National Institutes of Health Grant U01 AG024904) and DOD ADNI (Department of Defense award number W81XWH-12-2-0012). </w:t>
      </w:r>
      <w:r w:rsidRPr="00734A7D">
        <w:rPr>
          <w:rFonts w:ascii="Times New Roman" w:hAnsi="Times New Roman" w:cs="Times New Roman"/>
          <w:sz w:val="24"/>
          <w:szCs w:val="24"/>
          <w:lang w:val="en-GB"/>
        </w:rPr>
        <w:t xml:space="preserve">ADNI is funded by the National Institute on Aging, the National Institute of Biomedical Imaging and Bioengineering, and through generous contributions from the following: AbbVie, Alzheimer’s Association; Alzheimer’s Drug Discovery Foundation; Araclon Biotech; BioClinica, Inc.; Biogen; Bristol-Myers Squibb Company; CereSpir, Inc.; Cogstate; Eisai Inc.; Elan Pharmaceuticals, Inc.; Eli Lilly and Company; EuroImmun; F. Hoffmann-La Roche Ltd and its affiliated company Genentech, Inc.; Fujirebio; GE Healthcare; IXICO Ltd.; Janssen Alzheimer Immunotherapy Research &amp; Development, LLC.; Johnson &amp; Johnson Pharmaceutical Research &amp; Development LLC.; Lumosity; Lundbeck; Merck &amp; Co., Inc.; Meso Scale Diagnostics, LLC.; NeuroRx Research; Neurotrack Technologies; Novartis </w:t>
      </w:r>
      <w:r w:rsidRPr="00734A7D">
        <w:rPr>
          <w:rFonts w:ascii="Times New Roman" w:hAnsi="Times New Roman" w:cs="Times New Roman"/>
          <w:sz w:val="24"/>
          <w:szCs w:val="24"/>
          <w:lang w:val="en-GB"/>
        </w:rPr>
        <w:lastRenderedPageBreak/>
        <w:t>Pharmaceuticals Corporation; Pfizer Inc.; Piramal Imaging; Servier; Takeda Pharmaceutical Company; and Transition Therapeutics. The Canadian Institutes of Health Research is providing funds to support ADNI clinical sites in Canada. Private sector contributions are facilitated by the Foundation for the National Institutes of Health (www.fnih.org). The grantee organization is the Northern California Institute for Research and Education, and the study is coordinated by the Alzheimer’s Therapeutic Research Institute at the University of Southern California. ADNI data are disseminated by the Laboratory for Neuro Imaging at the University of Southern California.</w:t>
      </w:r>
    </w:p>
    <w:p w14:paraId="01FF0D79" w14:textId="469249C7" w:rsidR="00712006" w:rsidRPr="00734A7D" w:rsidRDefault="004A7587" w:rsidP="00BA4145">
      <w:pPr>
        <w:spacing w:before="240" w:after="0" w:line="480" w:lineRule="auto"/>
        <w:rPr>
          <w:rFonts w:ascii="Times New Roman" w:hAnsi="Times New Roman" w:cs="Times New Roman"/>
          <w:sz w:val="24"/>
          <w:szCs w:val="24"/>
        </w:rPr>
      </w:pPr>
      <w:r w:rsidRPr="00734A7D">
        <w:rPr>
          <w:rFonts w:ascii="Times New Roman" w:hAnsi="Times New Roman" w:cs="Times New Roman"/>
          <w:b/>
          <w:bCs/>
          <w:sz w:val="24"/>
          <w:szCs w:val="24"/>
        </w:rPr>
        <w:t>Declaration</w:t>
      </w:r>
      <w:r w:rsidR="007D6F77" w:rsidRPr="00734A7D">
        <w:rPr>
          <w:rFonts w:ascii="Times New Roman" w:hAnsi="Times New Roman" w:cs="Times New Roman"/>
          <w:b/>
          <w:bCs/>
          <w:sz w:val="24"/>
          <w:szCs w:val="24"/>
        </w:rPr>
        <w:t xml:space="preserve"> of</w:t>
      </w:r>
      <w:r w:rsidR="00712006" w:rsidRPr="00734A7D">
        <w:rPr>
          <w:rFonts w:ascii="Times New Roman" w:hAnsi="Times New Roman" w:cs="Times New Roman"/>
          <w:b/>
          <w:bCs/>
          <w:sz w:val="24"/>
          <w:szCs w:val="24"/>
        </w:rPr>
        <w:t xml:space="preserve"> Interest</w:t>
      </w:r>
    </w:p>
    <w:p w14:paraId="63CF0E11" w14:textId="0F38130B" w:rsidR="00A57101" w:rsidRPr="00734A7D" w:rsidRDefault="00712006" w:rsidP="00A57101">
      <w:pPr>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JP, MCH, ED and GNB report no conflict of interest. TvE reports having received consulting and lecture fees from Lundbeck A/S, Lilly Germany, Shire Germany and research funding from the German Research Foundation (DFG), the Leibniz Association and the EU-joint program for neurodegenerative disease research (JPND). AD reports having received research support and speaker honoraria by Life Molecular Imaging, AVID/Lilly Radiopharmaceuticals, Siemens Healthineers, GE Healthcare</w:t>
      </w:r>
      <w:r w:rsidR="00A57101" w:rsidRPr="00734A7D">
        <w:rPr>
          <w:rFonts w:ascii="Times New Roman" w:hAnsi="Times New Roman" w:cs="Times New Roman"/>
          <w:sz w:val="24"/>
          <w:szCs w:val="24"/>
        </w:rPr>
        <w:t>.</w:t>
      </w:r>
    </w:p>
    <w:p w14:paraId="54F19528" w14:textId="22200EA2" w:rsidR="00DF5F28" w:rsidRPr="00734A7D" w:rsidRDefault="00E9546F" w:rsidP="00DF5F28">
      <w:pPr>
        <w:shd w:val="clear" w:color="auto" w:fill="FFFFFF"/>
        <w:spacing w:line="480" w:lineRule="auto"/>
        <w:rPr>
          <w:rFonts w:ascii="Times New Roman" w:hAnsi="Times New Roman" w:cs="Times New Roman"/>
          <w:sz w:val="24"/>
          <w:szCs w:val="24"/>
        </w:rPr>
      </w:pPr>
      <w:r w:rsidRPr="00734A7D">
        <w:rPr>
          <w:rFonts w:ascii="Times New Roman" w:hAnsi="Times New Roman" w:cs="Times New Roman"/>
          <w:b/>
          <w:bCs/>
          <w:sz w:val="24"/>
          <w:szCs w:val="24"/>
        </w:rPr>
        <w:t>Ethical approval</w:t>
      </w:r>
      <w:r w:rsidR="0050684C" w:rsidRPr="00734A7D">
        <w:rPr>
          <w:rFonts w:ascii="Times New Roman" w:hAnsi="Times New Roman" w:cs="Times New Roman"/>
          <w:b/>
          <w:bCs/>
          <w:sz w:val="24"/>
          <w:szCs w:val="24"/>
        </w:rPr>
        <w:t>:</w:t>
      </w:r>
      <w:r w:rsidRPr="00734A7D">
        <w:rPr>
          <w:rFonts w:ascii="Times New Roman" w:hAnsi="Times New Roman" w:cs="Times New Roman"/>
          <w:sz w:val="24"/>
          <w:szCs w:val="24"/>
        </w:rPr>
        <w:t xml:space="preserve"> </w:t>
      </w:r>
    </w:p>
    <w:p w14:paraId="0E393F52" w14:textId="5D3C6465" w:rsidR="003151CC" w:rsidRPr="00734A7D" w:rsidRDefault="00E9546F" w:rsidP="003151CC">
      <w:pPr>
        <w:shd w:val="clear" w:color="auto" w:fill="FFFFFF"/>
        <w:spacing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As per ADNI protocols, all procedures performed in studies involving human participants were in accordance with the ethical standards of the institutional and/or national research committee and with the 1964 Helsinki declaration and its later amendments or comparable ethical standards. More details can be found at </w:t>
      </w:r>
      <w:hyperlink r:id="rId8" w:tgtFrame="_blank" w:tooltip="Link to external resource" w:history="1">
        <w:r w:rsidRPr="00734A7D">
          <w:rPr>
            <w:rFonts w:ascii="Times New Roman" w:hAnsi="Times New Roman" w:cs="Times New Roman"/>
            <w:sz w:val="24"/>
            <w:szCs w:val="24"/>
          </w:rPr>
          <w:t>adni.loni.usc.edu</w:t>
        </w:r>
      </w:hyperlink>
      <w:r w:rsidRPr="00734A7D">
        <w:rPr>
          <w:rFonts w:ascii="Times New Roman" w:hAnsi="Times New Roman" w:cs="Times New Roman"/>
          <w:sz w:val="24"/>
          <w:szCs w:val="24"/>
        </w:rPr>
        <w:t>. (This article does not contain any studies with human participants performed by any of the authors).</w:t>
      </w:r>
      <w:r w:rsidR="000308B4" w:rsidRPr="00734A7D">
        <w:rPr>
          <w:rFonts w:ascii="Times New Roman" w:hAnsi="Times New Roman" w:cs="Times New Roman"/>
          <w:sz w:val="24"/>
          <w:szCs w:val="24"/>
        </w:rPr>
        <w:t xml:space="preserve"> </w:t>
      </w:r>
    </w:p>
    <w:p w14:paraId="473512EB" w14:textId="77777777" w:rsidR="00DF5F28" w:rsidRPr="00734A7D" w:rsidRDefault="00E9546F" w:rsidP="00DF5F28">
      <w:pPr>
        <w:shd w:val="clear" w:color="auto" w:fill="FFFFFF"/>
        <w:spacing w:line="480" w:lineRule="auto"/>
        <w:rPr>
          <w:rFonts w:ascii="Times New Roman" w:hAnsi="Times New Roman" w:cs="Times New Roman"/>
          <w:sz w:val="24"/>
          <w:szCs w:val="24"/>
        </w:rPr>
      </w:pPr>
      <w:r w:rsidRPr="00734A7D">
        <w:rPr>
          <w:rFonts w:ascii="Times New Roman" w:hAnsi="Times New Roman" w:cs="Times New Roman"/>
          <w:b/>
          <w:bCs/>
          <w:sz w:val="24"/>
          <w:szCs w:val="24"/>
        </w:rPr>
        <w:t>Availability of data and material:</w:t>
      </w:r>
      <w:r w:rsidRPr="00734A7D">
        <w:rPr>
          <w:rFonts w:ascii="Times New Roman" w:hAnsi="Times New Roman" w:cs="Times New Roman"/>
          <w:sz w:val="24"/>
          <w:szCs w:val="24"/>
        </w:rPr>
        <w:t xml:space="preserve"> </w:t>
      </w:r>
    </w:p>
    <w:p w14:paraId="7D02791A" w14:textId="26B8B5C7" w:rsidR="00C70A37" w:rsidRPr="00734A7D" w:rsidRDefault="00C70A37" w:rsidP="00C70A37">
      <w:pPr>
        <w:spacing w:after="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Data used in preparation of this article were obtained from the Alzheimer’s disease Neuroimaging Initiative (ADNI) database (http://adni.loni.usc.edu). Thus, the investigators </w:t>
      </w:r>
      <w:r w:rsidRPr="00734A7D">
        <w:rPr>
          <w:rFonts w:ascii="Times New Roman" w:hAnsi="Times New Roman" w:cs="Times New Roman"/>
          <w:sz w:val="24"/>
          <w:szCs w:val="24"/>
        </w:rPr>
        <w:lastRenderedPageBreak/>
        <w:t>within the ADNI contributed to the design and implementation of ADNI and/or provided data</w:t>
      </w:r>
      <w:r w:rsidR="00A611C4" w:rsidRPr="00734A7D">
        <w:rPr>
          <w:rFonts w:ascii="Times New Roman" w:hAnsi="Times New Roman" w:cs="Times New Roman"/>
          <w:sz w:val="24"/>
          <w:szCs w:val="24"/>
        </w:rPr>
        <w:t xml:space="preserve"> </w:t>
      </w:r>
      <w:r w:rsidRPr="00734A7D">
        <w:rPr>
          <w:rFonts w:ascii="Times New Roman" w:hAnsi="Times New Roman" w:cs="Times New Roman"/>
          <w:sz w:val="24"/>
          <w:szCs w:val="24"/>
        </w:rPr>
        <w:t>but did not participate in this analysis or the writing of this report. A complete listing of ADNI investigators can be found at http://adni.loni.usc.edu/wpcontent/uploads/how_to_apply</w:t>
      </w:r>
    </w:p>
    <w:p w14:paraId="2C365961" w14:textId="1F7D2BF8" w:rsidR="00712006" w:rsidRPr="00734A7D" w:rsidRDefault="00C70A37" w:rsidP="00C70A37">
      <w:pPr>
        <w:spacing w:after="0" w:line="480" w:lineRule="auto"/>
        <w:rPr>
          <w:rFonts w:ascii="Times New Roman" w:hAnsi="Times New Roman" w:cs="Times New Roman"/>
          <w:sz w:val="24"/>
          <w:szCs w:val="24"/>
        </w:rPr>
      </w:pPr>
      <w:r w:rsidRPr="00734A7D">
        <w:rPr>
          <w:rFonts w:ascii="Times New Roman" w:hAnsi="Times New Roman" w:cs="Times New Roman"/>
          <w:sz w:val="24"/>
          <w:szCs w:val="24"/>
        </w:rPr>
        <w:t>/ADNI_Acknowledgement_List.pdf/.</w:t>
      </w:r>
    </w:p>
    <w:p w14:paraId="42A16D2B" w14:textId="7ABF59AC" w:rsidR="00B00E33" w:rsidRPr="00734A7D" w:rsidRDefault="00B00E33" w:rsidP="00712006">
      <w:pPr>
        <w:spacing w:after="240" w:line="480" w:lineRule="auto"/>
        <w:rPr>
          <w:rFonts w:ascii="Times New Roman" w:hAnsi="Times New Roman" w:cs="Times New Roman"/>
          <w:sz w:val="24"/>
          <w:szCs w:val="24"/>
          <w:lang w:val="en-GB"/>
        </w:rPr>
      </w:pPr>
      <w:bookmarkStart w:id="20" w:name="_Hlk43747407"/>
    </w:p>
    <w:p w14:paraId="19E02701" w14:textId="4080EE41" w:rsidR="00543D97" w:rsidRPr="00734A7D" w:rsidRDefault="00543D97" w:rsidP="00712006">
      <w:pPr>
        <w:spacing w:after="240" w:line="480" w:lineRule="auto"/>
        <w:rPr>
          <w:rFonts w:ascii="Times New Roman" w:hAnsi="Times New Roman" w:cs="Times New Roman"/>
          <w:sz w:val="24"/>
          <w:szCs w:val="24"/>
          <w:lang w:val="en-GB"/>
        </w:rPr>
      </w:pPr>
    </w:p>
    <w:p w14:paraId="2D411B64" w14:textId="1E0D4C5F" w:rsidR="00543D97" w:rsidRPr="00734A7D" w:rsidRDefault="00543D97" w:rsidP="00712006">
      <w:pPr>
        <w:spacing w:after="240" w:line="480" w:lineRule="auto"/>
        <w:rPr>
          <w:rFonts w:ascii="Times New Roman" w:hAnsi="Times New Roman" w:cs="Times New Roman"/>
          <w:sz w:val="24"/>
          <w:szCs w:val="24"/>
          <w:lang w:val="en-GB"/>
        </w:rPr>
      </w:pPr>
    </w:p>
    <w:p w14:paraId="7F379FD7" w14:textId="64AC62D9" w:rsidR="00543D97" w:rsidRPr="00734A7D" w:rsidRDefault="00543D97" w:rsidP="00712006">
      <w:pPr>
        <w:spacing w:after="240" w:line="480" w:lineRule="auto"/>
        <w:rPr>
          <w:rFonts w:ascii="Times New Roman" w:hAnsi="Times New Roman" w:cs="Times New Roman"/>
          <w:sz w:val="24"/>
          <w:szCs w:val="24"/>
          <w:lang w:val="en-GB"/>
        </w:rPr>
      </w:pPr>
    </w:p>
    <w:p w14:paraId="44591D3C" w14:textId="7010D855" w:rsidR="00543D97" w:rsidRPr="00734A7D" w:rsidRDefault="00543D97" w:rsidP="00712006">
      <w:pPr>
        <w:spacing w:after="240" w:line="480" w:lineRule="auto"/>
        <w:rPr>
          <w:rFonts w:ascii="Times New Roman" w:hAnsi="Times New Roman" w:cs="Times New Roman"/>
          <w:sz w:val="24"/>
          <w:szCs w:val="24"/>
          <w:lang w:val="en-GB"/>
        </w:rPr>
      </w:pPr>
    </w:p>
    <w:p w14:paraId="51483980" w14:textId="29A344F0" w:rsidR="00543D97" w:rsidRPr="00734A7D" w:rsidRDefault="00543D97" w:rsidP="00712006">
      <w:pPr>
        <w:spacing w:after="240" w:line="480" w:lineRule="auto"/>
        <w:rPr>
          <w:rFonts w:ascii="Times New Roman" w:hAnsi="Times New Roman" w:cs="Times New Roman"/>
          <w:sz w:val="24"/>
          <w:szCs w:val="24"/>
          <w:lang w:val="en-GB"/>
        </w:rPr>
      </w:pPr>
    </w:p>
    <w:p w14:paraId="77987CEE" w14:textId="4F02469E" w:rsidR="00543D97" w:rsidRPr="00734A7D" w:rsidRDefault="00543D97" w:rsidP="00712006">
      <w:pPr>
        <w:spacing w:after="240" w:line="480" w:lineRule="auto"/>
        <w:rPr>
          <w:rFonts w:ascii="Times New Roman" w:hAnsi="Times New Roman" w:cs="Times New Roman"/>
          <w:sz w:val="24"/>
          <w:szCs w:val="24"/>
          <w:lang w:val="en-GB"/>
        </w:rPr>
      </w:pPr>
    </w:p>
    <w:p w14:paraId="255BEEA5" w14:textId="466FB01E" w:rsidR="00543D97" w:rsidRPr="00734A7D" w:rsidRDefault="00543D97" w:rsidP="00712006">
      <w:pPr>
        <w:spacing w:after="240" w:line="480" w:lineRule="auto"/>
        <w:rPr>
          <w:rFonts w:ascii="Times New Roman" w:hAnsi="Times New Roman" w:cs="Times New Roman"/>
          <w:sz w:val="24"/>
          <w:szCs w:val="24"/>
          <w:lang w:val="en-GB"/>
        </w:rPr>
      </w:pPr>
    </w:p>
    <w:p w14:paraId="45C445F7" w14:textId="3F450844" w:rsidR="00543D97" w:rsidRPr="00734A7D" w:rsidRDefault="00543D97" w:rsidP="00712006">
      <w:pPr>
        <w:spacing w:after="240" w:line="480" w:lineRule="auto"/>
        <w:rPr>
          <w:rFonts w:ascii="Times New Roman" w:hAnsi="Times New Roman" w:cs="Times New Roman"/>
          <w:sz w:val="24"/>
          <w:szCs w:val="24"/>
          <w:lang w:val="en-GB"/>
        </w:rPr>
      </w:pPr>
    </w:p>
    <w:p w14:paraId="565AE73A" w14:textId="45F604D7" w:rsidR="00543D97" w:rsidRPr="00734A7D" w:rsidRDefault="00543D97" w:rsidP="00712006">
      <w:pPr>
        <w:spacing w:after="240" w:line="480" w:lineRule="auto"/>
        <w:rPr>
          <w:rFonts w:ascii="Times New Roman" w:hAnsi="Times New Roman" w:cs="Times New Roman"/>
          <w:sz w:val="24"/>
          <w:szCs w:val="24"/>
          <w:lang w:val="en-GB"/>
        </w:rPr>
      </w:pPr>
    </w:p>
    <w:p w14:paraId="0A247B62" w14:textId="7CADEB91" w:rsidR="00543D97" w:rsidRPr="00734A7D" w:rsidRDefault="00543D97" w:rsidP="00712006">
      <w:pPr>
        <w:spacing w:after="240" w:line="480" w:lineRule="auto"/>
        <w:rPr>
          <w:rFonts w:ascii="Times New Roman" w:hAnsi="Times New Roman" w:cs="Times New Roman"/>
          <w:sz w:val="24"/>
          <w:szCs w:val="24"/>
          <w:lang w:val="en-GB"/>
        </w:rPr>
      </w:pPr>
    </w:p>
    <w:p w14:paraId="37331CF3" w14:textId="466FB69D" w:rsidR="00543D97" w:rsidRPr="00734A7D" w:rsidRDefault="00543D97" w:rsidP="00712006">
      <w:pPr>
        <w:spacing w:after="240" w:line="480" w:lineRule="auto"/>
        <w:rPr>
          <w:rFonts w:ascii="Times New Roman" w:hAnsi="Times New Roman" w:cs="Times New Roman"/>
          <w:sz w:val="24"/>
          <w:szCs w:val="24"/>
          <w:lang w:val="en-GB"/>
        </w:rPr>
      </w:pPr>
    </w:p>
    <w:p w14:paraId="46BD80F9" w14:textId="183782F0" w:rsidR="00543D97" w:rsidRPr="00734A7D" w:rsidRDefault="00543D97" w:rsidP="00712006">
      <w:pPr>
        <w:spacing w:after="240" w:line="480" w:lineRule="auto"/>
        <w:rPr>
          <w:rFonts w:ascii="Times New Roman" w:hAnsi="Times New Roman" w:cs="Times New Roman"/>
          <w:sz w:val="24"/>
          <w:szCs w:val="24"/>
          <w:lang w:val="en-GB"/>
        </w:rPr>
      </w:pPr>
    </w:p>
    <w:p w14:paraId="24A6FE11" w14:textId="2FB00717" w:rsidR="00543D97" w:rsidRPr="00734A7D" w:rsidRDefault="00543D97" w:rsidP="00712006">
      <w:pPr>
        <w:spacing w:after="240" w:line="480" w:lineRule="auto"/>
        <w:rPr>
          <w:rFonts w:ascii="Times New Roman" w:hAnsi="Times New Roman" w:cs="Times New Roman"/>
          <w:sz w:val="24"/>
          <w:szCs w:val="24"/>
          <w:lang w:val="en-GB"/>
        </w:rPr>
      </w:pPr>
    </w:p>
    <w:p w14:paraId="0F0CCDAF" w14:textId="77777777" w:rsidR="00543D97" w:rsidRPr="00734A7D" w:rsidRDefault="00543D97" w:rsidP="00712006">
      <w:pPr>
        <w:spacing w:after="240" w:line="480" w:lineRule="auto"/>
        <w:rPr>
          <w:rFonts w:ascii="Times New Roman" w:hAnsi="Times New Roman" w:cs="Times New Roman"/>
          <w:sz w:val="24"/>
          <w:szCs w:val="24"/>
          <w:lang w:val="en-GB"/>
        </w:rPr>
      </w:pPr>
    </w:p>
    <w:p w14:paraId="33C8B759" w14:textId="3F7690E5" w:rsidR="00712006" w:rsidRPr="00734A7D" w:rsidRDefault="00712006" w:rsidP="00712006">
      <w:pPr>
        <w:spacing w:after="240" w:line="480" w:lineRule="auto"/>
        <w:rPr>
          <w:rFonts w:ascii="Times New Roman" w:eastAsia="Calibri" w:hAnsi="Times New Roman" w:cs="Times New Roman"/>
          <w:b/>
          <w:sz w:val="24"/>
          <w:szCs w:val="24"/>
        </w:rPr>
      </w:pPr>
      <w:r w:rsidRPr="00734A7D">
        <w:rPr>
          <w:rFonts w:ascii="Times New Roman" w:hAnsi="Times New Roman" w:cs="Times New Roman"/>
          <w:b/>
          <w:bCs/>
          <w:sz w:val="24"/>
          <w:szCs w:val="24"/>
        </w:rPr>
        <w:lastRenderedPageBreak/>
        <w:t>References</w:t>
      </w:r>
    </w:p>
    <w:bookmarkEnd w:id="20"/>
    <w:p w14:paraId="52250FB1" w14:textId="77777777" w:rsidR="00360F7C" w:rsidRPr="00734A7D" w:rsidRDefault="00360F7C" w:rsidP="000D2ACE">
      <w:pPr>
        <w:spacing w:before="240" w:line="480" w:lineRule="auto"/>
        <w:textAlignment w:val="baseline"/>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Albert MS, DeKosky ST, Dickson D, Dubois B, Feldman HH, Fox NC, Gamst A, Holtzman </w:t>
      </w:r>
    </w:p>
    <w:p w14:paraId="5D55D78A" w14:textId="77777777" w:rsidR="00360F7C" w:rsidRPr="00734A7D" w:rsidRDefault="00360F7C" w:rsidP="00360F7C">
      <w:pPr>
        <w:spacing w:before="240" w:line="480" w:lineRule="auto"/>
        <w:ind w:firstLine="720"/>
        <w:textAlignment w:val="baseline"/>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DM, Jagust WJ, Petersen RC, Snyder PJ, Carrillo MC, Thies B, Phelps CH, 2011. </w:t>
      </w:r>
    </w:p>
    <w:p w14:paraId="065944C8" w14:textId="77777777" w:rsidR="00360F7C" w:rsidRPr="00734A7D" w:rsidRDefault="00360F7C" w:rsidP="00360F7C">
      <w:pPr>
        <w:spacing w:before="240" w:line="480" w:lineRule="auto"/>
        <w:ind w:firstLine="720"/>
        <w:textAlignment w:val="baseline"/>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The diagnosis of mild cognitive impairment due to Alzheimer’s disease: </w:t>
      </w:r>
    </w:p>
    <w:p w14:paraId="6E76093F" w14:textId="46910AF4" w:rsidR="00360F7C" w:rsidRPr="00734A7D" w:rsidRDefault="00183AB9" w:rsidP="00360F7C">
      <w:pPr>
        <w:spacing w:before="240" w:line="480" w:lineRule="auto"/>
        <w:ind w:firstLine="720"/>
        <w:textAlignment w:val="baseline"/>
        <w:rPr>
          <w:rFonts w:ascii="Times New Roman" w:hAnsi="Times New Roman" w:cs="Times New Roman"/>
          <w:sz w:val="24"/>
          <w:szCs w:val="24"/>
          <w:lang w:val="en-GB"/>
        </w:rPr>
      </w:pPr>
      <w:r w:rsidRPr="00734A7D">
        <w:rPr>
          <w:rFonts w:ascii="Times New Roman" w:hAnsi="Times New Roman" w:cs="Times New Roman"/>
          <w:sz w:val="24"/>
          <w:szCs w:val="24"/>
          <w:lang w:val="en-GB"/>
        </w:rPr>
        <w:t>R</w:t>
      </w:r>
      <w:r w:rsidR="00360F7C" w:rsidRPr="00734A7D">
        <w:rPr>
          <w:rFonts w:ascii="Times New Roman" w:hAnsi="Times New Roman" w:cs="Times New Roman"/>
          <w:sz w:val="24"/>
          <w:szCs w:val="24"/>
          <w:lang w:val="en-GB"/>
        </w:rPr>
        <w:t xml:space="preserve">ecommendations from the National Institute on Aging-Alzheimer’s Association </w:t>
      </w:r>
    </w:p>
    <w:p w14:paraId="59898D8E" w14:textId="77777777" w:rsidR="00360F7C" w:rsidRPr="00734A7D" w:rsidRDefault="00360F7C" w:rsidP="00360F7C">
      <w:pPr>
        <w:spacing w:before="240" w:line="480" w:lineRule="auto"/>
        <w:ind w:firstLine="720"/>
        <w:textAlignment w:val="baseline"/>
        <w:rPr>
          <w:rFonts w:ascii="Times New Roman" w:hAnsi="Times New Roman" w:cs="Times New Roman"/>
          <w:sz w:val="24"/>
          <w:szCs w:val="24"/>
          <w:lang w:val="de-DE"/>
        </w:rPr>
      </w:pPr>
      <w:r w:rsidRPr="00734A7D">
        <w:rPr>
          <w:rFonts w:ascii="Times New Roman" w:hAnsi="Times New Roman" w:cs="Times New Roman"/>
          <w:sz w:val="24"/>
          <w:szCs w:val="24"/>
          <w:lang w:val="en-GB"/>
        </w:rPr>
        <w:t xml:space="preserve">workgroups on diagnostic guidelines for </w:t>
      </w:r>
      <w:r w:rsidRPr="00734A7D">
        <w:rPr>
          <w:rFonts w:ascii="Times New Roman" w:hAnsi="Times New Roman" w:cs="Times New Roman"/>
          <w:sz w:val="24"/>
          <w:szCs w:val="24"/>
        </w:rPr>
        <w:t xml:space="preserve">Alzheimer’s disease. </w:t>
      </w:r>
      <w:r w:rsidRPr="00734A7D">
        <w:rPr>
          <w:rFonts w:ascii="Times New Roman" w:hAnsi="Times New Roman" w:cs="Times New Roman"/>
          <w:sz w:val="24"/>
          <w:szCs w:val="24"/>
          <w:lang w:val="de-DE"/>
        </w:rPr>
        <w:t xml:space="preserve">Alzheimers Dement. </w:t>
      </w:r>
    </w:p>
    <w:p w14:paraId="13FF6C2F" w14:textId="414D9CEA" w:rsidR="00360F7C" w:rsidRPr="00734A7D" w:rsidRDefault="00360F7C" w:rsidP="00360F7C">
      <w:pPr>
        <w:spacing w:before="240" w:line="480" w:lineRule="auto"/>
        <w:ind w:firstLine="720"/>
        <w:textAlignment w:val="baseline"/>
        <w:rPr>
          <w:rFonts w:ascii="Times New Roman" w:hAnsi="Times New Roman" w:cs="Times New Roman"/>
          <w:sz w:val="24"/>
          <w:szCs w:val="24"/>
          <w:lang w:val="de-DE"/>
        </w:rPr>
      </w:pPr>
      <w:r w:rsidRPr="00734A7D">
        <w:rPr>
          <w:rFonts w:ascii="Times New Roman" w:hAnsi="Times New Roman" w:cs="Times New Roman"/>
          <w:sz w:val="24"/>
          <w:szCs w:val="24"/>
          <w:lang w:val="de-DE"/>
        </w:rPr>
        <w:t>7(3), 270-270. Doi: 10.1016/j.jalz.2011.03.008</w:t>
      </w:r>
    </w:p>
    <w:p w14:paraId="052BE0C5" w14:textId="707ABAF5" w:rsidR="000D2ACE" w:rsidRPr="00734A7D" w:rsidRDefault="0055460B" w:rsidP="000D2ACE">
      <w:pPr>
        <w:spacing w:before="240" w:line="480" w:lineRule="auto"/>
        <w:textAlignment w:val="baseline"/>
        <w:rPr>
          <w:rFonts w:ascii="Times New Roman" w:hAnsi="Times New Roman" w:cs="Times New Roman"/>
          <w:sz w:val="24"/>
          <w:szCs w:val="24"/>
        </w:rPr>
      </w:pPr>
      <w:r w:rsidRPr="00734A7D">
        <w:rPr>
          <w:rFonts w:ascii="Times New Roman" w:hAnsi="Times New Roman" w:cs="Times New Roman"/>
          <w:sz w:val="24"/>
          <w:szCs w:val="24"/>
        </w:rPr>
        <w:t>Bateman RJ, Xiong C, Benzinger TLS, Fagan, AM, Goate A, Fox, NC, Marcus DS, Cairns</w:t>
      </w:r>
      <w:r w:rsidR="000D2ACE" w:rsidRPr="00734A7D">
        <w:rPr>
          <w:rFonts w:ascii="Times New Roman" w:hAnsi="Times New Roman" w:cs="Times New Roman"/>
          <w:sz w:val="24"/>
          <w:szCs w:val="24"/>
        </w:rPr>
        <w:t xml:space="preserve"> </w:t>
      </w:r>
    </w:p>
    <w:p w14:paraId="1688F68A" w14:textId="3F3F0A4B" w:rsidR="00B679DC" w:rsidRPr="00734A7D" w:rsidRDefault="0055460B"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NJ, Xie X, Blazey TM, Holtzman DM, Santacruz A, Buckles V, Oliver A, Moulder </w:t>
      </w:r>
    </w:p>
    <w:p w14:paraId="44CBAA18" w14:textId="77777777" w:rsidR="00B679DC" w:rsidRPr="00734A7D" w:rsidRDefault="0055460B"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K, Aisen PS, Ghetti</w:t>
      </w:r>
      <w:r w:rsidR="00B679DC" w:rsidRPr="00734A7D">
        <w:rPr>
          <w:rFonts w:ascii="Times New Roman" w:hAnsi="Times New Roman" w:cs="Times New Roman"/>
          <w:sz w:val="24"/>
          <w:szCs w:val="24"/>
        </w:rPr>
        <w:t xml:space="preserve"> B, </w:t>
      </w:r>
      <w:r w:rsidRPr="00734A7D">
        <w:rPr>
          <w:rFonts w:ascii="Times New Roman" w:hAnsi="Times New Roman" w:cs="Times New Roman"/>
          <w:sz w:val="24"/>
          <w:szCs w:val="24"/>
        </w:rPr>
        <w:t>Klunk</w:t>
      </w:r>
      <w:r w:rsidR="00B679DC" w:rsidRPr="00734A7D">
        <w:rPr>
          <w:rFonts w:ascii="Times New Roman" w:hAnsi="Times New Roman" w:cs="Times New Roman"/>
          <w:sz w:val="24"/>
          <w:szCs w:val="24"/>
        </w:rPr>
        <w:t xml:space="preserve"> WE, </w:t>
      </w:r>
      <w:r w:rsidRPr="00734A7D">
        <w:rPr>
          <w:rFonts w:ascii="Times New Roman" w:hAnsi="Times New Roman" w:cs="Times New Roman"/>
          <w:sz w:val="24"/>
          <w:szCs w:val="24"/>
        </w:rPr>
        <w:t>McDade</w:t>
      </w:r>
      <w:r w:rsidR="00B679DC" w:rsidRPr="00734A7D">
        <w:rPr>
          <w:rFonts w:ascii="Times New Roman" w:hAnsi="Times New Roman" w:cs="Times New Roman"/>
          <w:sz w:val="24"/>
          <w:szCs w:val="24"/>
        </w:rPr>
        <w:t xml:space="preserve"> E, </w:t>
      </w:r>
      <w:r w:rsidRPr="00734A7D">
        <w:rPr>
          <w:rFonts w:ascii="Times New Roman" w:hAnsi="Times New Roman" w:cs="Times New Roman"/>
          <w:sz w:val="24"/>
          <w:szCs w:val="24"/>
        </w:rPr>
        <w:t>Martins</w:t>
      </w:r>
      <w:r w:rsidR="00B679DC" w:rsidRPr="00734A7D">
        <w:rPr>
          <w:rFonts w:ascii="Times New Roman" w:hAnsi="Times New Roman" w:cs="Times New Roman"/>
          <w:sz w:val="24"/>
          <w:szCs w:val="24"/>
        </w:rPr>
        <w:t xml:space="preserve"> RN,</w:t>
      </w:r>
      <w:r w:rsidRPr="00734A7D">
        <w:rPr>
          <w:rFonts w:ascii="Times New Roman" w:hAnsi="Times New Roman" w:cs="Times New Roman"/>
          <w:sz w:val="24"/>
          <w:szCs w:val="24"/>
        </w:rPr>
        <w:t xml:space="preserve"> Masters</w:t>
      </w:r>
      <w:r w:rsidR="00B679DC" w:rsidRPr="00734A7D">
        <w:rPr>
          <w:rFonts w:ascii="Times New Roman" w:hAnsi="Times New Roman" w:cs="Times New Roman"/>
          <w:sz w:val="24"/>
          <w:szCs w:val="24"/>
        </w:rPr>
        <w:t xml:space="preserve"> CL, </w:t>
      </w:r>
      <w:r w:rsidRPr="00734A7D">
        <w:rPr>
          <w:rFonts w:ascii="Times New Roman" w:hAnsi="Times New Roman" w:cs="Times New Roman"/>
          <w:sz w:val="24"/>
          <w:szCs w:val="24"/>
        </w:rPr>
        <w:t>Mayeux</w:t>
      </w:r>
      <w:r w:rsidR="00B679DC" w:rsidRPr="00734A7D">
        <w:rPr>
          <w:rFonts w:ascii="Times New Roman" w:hAnsi="Times New Roman" w:cs="Times New Roman"/>
          <w:sz w:val="24"/>
          <w:szCs w:val="24"/>
        </w:rPr>
        <w:t xml:space="preserve"> R, </w:t>
      </w:r>
    </w:p>
    <w:p w14:paraId="15641B4A" w14:textId="2F632F6F" w:rsidR="00B679DC" w:rsidRPr="00734A7D" w:rsidRDefault="0055460B"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Ringman</w:t>
      </w:r>
      <w:r w:rsidR="00B679DC" w:rsidRPr="00734A7D">
        <w:rPr>
          <w:rFonts w:ascii="Times New Roman" w:hAnsi="Times New Roman" w:cs="Times New Roman"/>
          <w:sz w:val="24"/>
          <w:szCs w:val="24"/>
        </w:rPr>
        <w:t xml:space="preserve"> JM, </w:t>
      </w:r>
      <w:r w:rsidRPr="00734A7D">
        <w:rPr>
          <w:rFonts w:ascii="Times New Roman" w:hAnsi="Times New Roman" w:cs="Times New Roman"/>
          <w:sz w:val="24"/>
          <w:szCs w:val="24"/>
        </w:rPr>
        <w:t>Rossor</w:t>
      </w:r>
      <w:r w:rsidR="00B679DC" w:rsidRPr="00734A7D">
        <w:rPr>
          <w:rFonts w:ascii="Times New Roman" w:hAnsi="Times New Roman" w:cs="Times New Roman"/>
          <w:sz w:val="24"/>
          <w:szCs w:val="24"/>
        </w:rPr>
        <w:t xml:space="preserve"> MN</w:t>
      </w:r>
      <w:r w:rsidRPr="00734A7D">
        <w:rPr>
          <w:rFonts w:ascii="Times New Roman" w:hAnsi="Times New Roman" w:cs="Times New Roman"/>
          <w:sz w:val="24"/>
          <w:szCs w:val="24"/>
        </w:rPr>
        <w:t>, Schofield</w:t>
      </w:r>
      <w:r w:rsidR="00B679DC" w:rsidRPr="00734A7D">
        <w:rPr>
          <w:rFonts w:ascii="Times New Roman" w:hAnsi="Times New Roman" w:cs="Times New Roman"/>
          <w:sz w:val="24"/>
          <w:szCs w:val="24"/>
        </w:rPr>
        <w:t xml:space="preserve"> PR, </w:t>
      </w:r>
      <w:r w:rsidRPr="00734A7D">
        <w:rPr>
          <w:rFonts w:ascii="Times New Roman" w:hAnsi="Times New Roman" w:cs="Times New Roman"/>
          <w:sz w:val="24"/>
          <w:szCs w:val="24"/>
        </w:rPr>
        <w:t>Sperling</w:t>
      </w:r>
      <w:r w:rsidR="00B679DC" w:rsidRPr="00734A7D">
        <w:rPr>
          <w:rFonts w:ascii="Times New Roman" w:hAnsi="Times New Roman" w:cs="Times New Roman"/>
          <w:sz w:val="24"/>
          <w:szCs w:val="24"/>
        </w:rPr>
        <w:t xml:space="preserve"> RA,</w:t>
      </w:r>
      <w:r w:rsidRPr="00734A7D">
        <w:rPr>
          <w:rFonts w:ascii="Times New Roman" w:hAnsi="Times New Roman" w:cs="Times New Roman"/>
          <w:sz w:val="24"/>
          <w:szCs w:val="24"/>
        </w:rPr>
        <w:t xml:space="preserve"> Salloway</w:t>
      </w:r>
      <w:r w:rsidR="00B679DC" w:rsidRPr="00734A7D">
        <w:rPr>
          <w:rFonts w:ascii="Times New Roman" w:hAnsi="Times New Roman" w:cs="Times New Roman"/>
          <w:sz w:val="24"/>
          <w:szCs w:val="24"/>
        </w:rPr>
        <w:t xml:space="preserve"> S, </w:t>
      </w:r>
      <w:r w:rsidRPr="00734A7D">
        <w:rPr>
          <w:rFonts w:ascii="Times New Roman" w:hAnsi="Times New Roman" w:cs="Times New Roman"/>
          <w:sz w:val="24"/>
          <w:szCs w:val="24"/>
        </w:rPr>
        <w:t>Morris</w:t>
      </w:r>
      <w:r w:rsidR="00B679DC" w:rsidRPr="00734A7D">
        <w:rPr>
          <w:rFonts w:ascii="Times New Roman" w:hAnsi="Times New Roman" w:cs="Times New Roman"/>
          <w:sz w:val="24"/>
          <w:szCs w:val="24"/>
        </w:rPr>
        <w:t xml:space="preserve"> JC </w:t>
      </w:r>
      <w:r w:rsidRPr="00734A7D">
        <w:rPr>
          <w:rFonts w:ascii="Times New Roman" w:hAnsi="Times New Roman" w:cs="Times New Roman"/>
          <w:sz w:val="24"/>
          <w:szCs w:val="24"/>
        </w:rPr>
        <w:t xml:space="preserve">for the </w:t>
      </w:r>
    </w:p>
    <w:p w14:paraId="56FAA549" w14:textId="77777777" w:rsidR="00B679DC" w:rsidRPr="00734A7D" w:rsidRDefault="0055460B"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Dominantly Inherited Alzheimer Network</w:t>
      </w:r>
      <w:r w:rsidR="00B679DC" w:rsidRPr="00734A7D">
        <w:rPr>
          <w:rFonts w:ascii="Times New Roman" w:hAnsi="Times New Roman" w:cs="Times New Roman"/>
          <w:sz w:val="24"/>
          <w:szCs w:val="24"/>
        </w:rPr>
        <w:t xml:space="preserve">, 2012. Clinical and biomarker changes in </w:t>
      </w:r>
    </w:p>
    <w:p w14:paraId="6ED2CD83" w14:textId="7E90A595" w:rsidR="00B679DC" w:rsidRPr="00734A7D" w:rsidRDefault="00B679DC"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dominantly inherited Alzheimer’s Disease. NEJM 369(9), 795-804. Doi: </w:t>
      </w:r>
    </w:p>
    <w:p w14:paraId="6BF7C73C" w14:textId="1EE73FFD" w:rsidR="00B679DC" w:rsidRPr="00734A7D" w:rsidRDefault="00B679DC" w:rsidP="000D2ACE">
      <w:pPr>
        <w:spacing w:before="240" w:line="480" w:lineRule="auto"/>
        <w:ind w:firstLine="720"/>
        <w:textAlignment w:val="baseline"/>
        <w:rPr>
          <w:rFonts w:ascii="inherit" w:eastAsia="Times New Roman" w:hAnsi="inherit" w:cs="Helvetica"/>
          <w:sz w:val="24"/>
          <w:szCs w:val="24"/>
          <w:lang w:eastAsia="en-GB"/>
        </w:rPr>
      </w:pPr>
      <w:r w:rsidRPr="00734A7D">
        <w:rPr>
          <w:rFonts w:ascii="Times New Roman" w:hAnsi="Times New Roman" w:cs="Times New Roman"/>
          <w:sz w:val="24"/>
          <w:szCs w:val="24"/>
        </w:rPr>
        <w:t>10.1056/NEJMoa1202753</w:t>
      </w:r>
      <w:r w:rsidRPr="00734A7D">
        <w:rPr>
          <w:rFonts w:ascii="inherit" w:eastAsia="Times New Roman" w:hAnsi="inherit" w:cs="Helvetica"/>
          <w:sz w:val="24"/>
          <w:szCs w:val="24"/>
          <w:lang w:eastAsia="en-GB"/>
        </w:rPr>
        <w:t xml:space="preserve"> </w:t>
      </w:r>
    </w:p>
    <w:p w14:paraId="7E2DC424" w14:textId="77777777" w:rsidR="000D2ACE" w:rsidRPr="00734A7D" w:rsidRDefault="000D2ACE" w:rsidP="000D2ACE">
      <w:pPr>
        <w:spacing w:before="240" w:line="480" w:lineRule="auto"/>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 xml:space="preserve">Bischof GN, Jacobs HIL, 2019. Subthreshold amyloid and its biological and clinical </w:t>
      </w:r>
    </w:p>
    <w:p w14:paraId="288E8269" w14:textId="43E88B02"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Style w:val="Hyperlink"/>
          <w:rFonts w:ascii="Times New Roman" w:hAnsi="Times New Roman" w:cs="Times New Roman"/>
          <w:color w:val="auto"/>
          <w:sz w:val="24"/>
          <w:szCs w:val="24"/>
          <w:u w:val="none"/>
          <w:lang w:val="en-GB"/>
        </w:rPr>
        <w:t xml:space="preserve">meaning. Neurology 93(2), 72-79. </w:t>
      </w:r>
      <w:r w:rsidRPr="00734A7D">
        <w:rPr>
          <w:rFonts w:ascii="Times New Roman" w:hAnsi="Times New Roman" w:cs="Times New Roman"/>
          <w:sz w:val="24"/>
          <w:szCs w:val="24"/>
          <w:lang w:val="en-GB"/>
        </w:rPr>
        <w:t xml:space="preserve">Doi: </w:t>
      </w:r>
      <w:r w:rsidRPr="00734A7D">
        <w:rPr>
          <w:rStyle w:val="identifier"/>
          <w:rFonts w:ascii="Times New Roman" w:hAnsi="Times New Roman" w:cs="Times New Roman"/>
          <w:sz w:val="24"/>
          <w:szCs w:val="24"/>
        </w:rPr>
        <w:t>10.1212/WNL.0000000000007747</w:t>
      </w:r>
    </w:p>
    <w:p w14:paraId="67E9706E" w14:textId="77777777" w:rsidR="000D2ACE" w:rsidRPr="00734A7D" w:rsidRDefault="000D2ACE" w:rsidP="000D2ACE">
      <w:pPr>
        <w:spacing w:before="240" w:line="480" w:lineRule="auto"/>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Cho H, Choi JY, Hwang MS, Kim YJ, Lee HM, Lee JS, Lee, JH, Ryu YH, Lee MS, Lyoo </w:t>
      </w:r>
    </w:p>
    <w:p w14:paraId="018B08CD"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CH, 2016. In vivo cortical spreading pattern of tau and amyloid in the Alzheimer </w:t>
      </w:r>
    </w:p>
    <w:p w14:paraId="443CB49B" w14:textId="3F37FF75" w:rsidR="000D2ACE" w:rsidRPr="00734A7D" w:rsidRDefault="000D2ACE" w:rsidP="000D2ACE">
      <w:pPr>
        <w:spacing w:before="240" w:line="480" w:lineRule="auto"/>
        <w:ind w:firstLine="720"/>
        <w:rPr>
          <w:rFonts w:ascii="Times New Roman" w:hAnsi="Times New Roman" w:cs="Times New Roman"/>
          <w:sz w:val="24"/>
          <w:szCs w:val="24"/>
        </w:rPr>
      </w:pPr>
      <w:r w:rsidRPr="00734A7D">
        <w:rPr>
          <w:rStyle w:val="Hyperlink"/>
          <w:rFonts w:ascii="Times New Roman" w:hAnsi="Times New Roman" w:cs="Times New Roman"/>
          <w:color w:val="auto"/>
          <w:sz w:val="24"/>
          <w:szCs w:val="24"/>
          <w:u w:val="none"/>
        </w:rPr>
        <w:lastRenderedPageBreak/>
        <w:t xml:space="preserve">disease spectrum. </w:t>
      </w:r>
      <w:r w:rsidRPr="00734A7D">
        <w:rPr>
          <w:rStyle w:val="Hyperlink"/>
          <w:rFonts w:ascii="Times New Roman" w:hAnsi="Times New Roman" w:cs="Times New Roman"/>
          <w:color w:val="auto"/>
          <w:sz w:val="24"/>
          <w:szCs w:val="24"/>
          <w:u w:val="none"/>
          <w:lang w:val="en-GB"/>
        </w:rPr>
        <w:t>Ann Neurol. 80(2), 247-258. Doi: 10.1002/ana.24711</w:t>
      </w:r>
    </w:p>
    <w:p w14:paraId="17CF36D8" w14:textId="77777777" w:rsidR="000D2ACE" w:rsidRPr="00734A7D" w:rsidRDefault="000D2ACE" w:rsidP="000D2ACE">
      <w:pPr>
        <w:spacing w:before="240" w:line="480" w:lineRule="auto"/>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Ciarmiello A, Tartaglione A, Giovannini E, Riondato M, Giovacchini G, Ferrando O, </w:t>
      </w:r>
    </w:p>
    <w:p w14:paraId="0377B63E" w14:textId="77777777" w:rsidR="000D2ACE" w:rsidRPr="00734A7D" w:rsidRDefault="000D2ACE"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De Biasi M, Passera C, Carabelli E, Mannironi A, Foppiano F, Alfano B, Mansi L, </w:t>
      </w:r>
    </w:p>
    <w:p w14:paraId="22971DBA" w14:textId="77777777" w:rsidR="000D2ACE" w:rsidRPr="00734A7D" w:rsidRDefault="000D2ACE"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2019. Amyloid burden identifies neuropsychological phenotypes at increased risk of </w:t>
      </w:r>
    </w:p>
    <w:p w14:paraId="1A5C1AB3"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progression to Alzheimer’s disease in mild cognitive impairment patients. Eur J </w:t>
      </w:r>
    </w:p>
    <w:p w14:paraId="6FEAA52A" w14:textId="5A781E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Nucl Med Mol Imaging 46, 288-296. Doi: 10.1007/s00259-018-4149-2</w:t>
      </w:r>
    </w:p>
    <w:p w14:paraId="1E4546F3" w14:textId="77777777" w:rsidR="000D2ACE" w:rsidRPr="00734A7D" w:rsidRDefault="000D2ACE" w:rsidP="000D2ACE">
      <w:pPr>
        <w:spacing w:before="240" w:line="480" w:lineRule="auto"/>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Corrada MM, Brookmeyer R, Paganini-Hill A, Berlau D, Kaway CH, 2010. Dementia </w:t>
      </w:r>
    </w:p>
    <w:p w14:paraId="62BFAC6C"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incidence continues to increase with age in the oldest old: the 90+ study. Ann Neurol. </w:t>
      </w:r>
    </w:p>
    <w:p w14:paraId="4D35A69A" w14:textId="1121D91C"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67(1), 114-121. Doi: </w:t>
      </w:r>
      <w:hyperlink r:id="rId9" w:tgtFrame="_blank" w:history="1">
        <w:r w:rsidRPr="00734A7D">
          <w:rPr>
            <w:rStyle w:val="Hyperlink"/>
            <w:rFonts w:ascii="Times New Roman" w:hAnsi="Times New Roman" w:cs="Times New Roman"/>
            <w:color w:val="auto"/>
            <w:sz w:val="24"/>
            <w:szCs w:val="24"/>
            <w:u w:val="none"/>
          </w:rPr>
          <w:t>10.1002/ana.21915</w:t>
        </w:r>
      </w:hyperlink>
    </w:p>
    <w:p w14:paraId="4D7EDC67" w14:textId="77777777" w:rsidR="000D2ACE" w:rsidRPr="00734A7D" w:rsidRDefault="000D2ACE" w:rsidP="000D2ACE">
      <w:pPr>
        <w:spacing w:before="240" w:line="480" w:lineRule="auto"/>
        <w:rPr>
          <w:rStyle w:val="identifier"/>
          <w:rFonts w:ascii="Times New Roman" w:hAnsi="Times New Roman" w:cs="Times New Roman"/>
          <w:sz w:val="24"/>
          <w:szCs w:val="24"/>
        </w:rPr>
      </w:pPr>
      <w:r w:rsidRPr="00734A7D">
        <w:rPr>
          <w:rStyle w:val="identifier"/>
          <w:rFonts w:ascii="Times New Roman" w:hAnsi="Times New Roman" w:cs="Times New Roman"/>
          <w:sz w:val="24"/>
          <w:szCs w:val="24"/>
        </w:rPr>
        <w:t xml:space="preserve">Craft S, Teri L, Edland SD, Kukull WA, Schellenberg G, McCormick WC, Bowen JD, </w:t>
      </w:r>
    </w:p>
    <w:p w14:paraId="16DA39C1" w14:textId="77777777" w:rsidR="000D2ACE" w:rsidRPr="00734A7D" w:rsidRDefault="000D2ACE" w:rsidP="000D2ACE">
      <w:pPr>
        <w:spacing w:before="240" w:line="480" w:lineRule="auto"/>
        <w:ind w:firstLine="720"/>
        <w:rPr>
          <w:rStyle w:val="identifier"/>
          <w:rFonts w:ascii="Times New Roman" w:hAnsi="Times New Roman" w:cs="Times New Roman"/>
          <w:sz w:val="24"/>
          <w:szCs w:val="24"/>
        </w:rPr>
      </w:pPr>
      <w:r w:rsidRPr="00734A7D">
        <w:rPr>
          <w:rStyle w:val="identifier"/>
          <w:rFonts w:ascii="Times New Roman" w:hAnsi="Times New Roman" w:cs="Times New Roman"/>
          <w:sz w:val="24"/>
          <w:szCs w:val="24"/>
        </w:rPr>
        <w:t xml:space="preserve">Larson EB, 1998. Accelerated decline in apolipoprotein E-epsilon4 homozygotes with </w:t>
      </w:r>
    </w:p>
    <w:p w14:paraId="5A92D193" w14:textId="5499586C" w:rsidR="000D2ACE" w:rsidRPr="00734A7D" w:rsidRDefault="000D2ACE" w:rsidP="000D2ACE">
      <w:pPr>
        <w:spacing w:before="240" w:line="480" w:lineRule="auto"/>
        <w:ind w:firstLine="720"/>
        <w:rPr>
          <w:rStyle w:val="identifier"/>
          <w:rFonts w:ascii="Times New Roman" w:hAnsi="Times New Roman" w:cs="Times New Roman"/>
          <w:sz w:val="24"/>
          <w:szCs w:val="24"/>
        </w:rPr>
      </w:pPr>
      <w:r w:rsidRPr="00734A7D">
        <w:rPr>
          <w:rStyle w:val="identifier"/>
          <w:rFonts w:ascii="Times New Roman" w:hAnsi="Times New Roman" w:cs="Times New Roman"/>
          <w:sz w:val="24"/>
          <w:szCs w:val="24"/>
        </w:rPr>
        <w:t>Alzheimer’s disease. Neurology 51(1), 149-153. Doi: 10.1212/wnl.51.1.149</w:t>
      </w:r>
    </w:p>
    <w:p w14:paraId="0CD77885" w14:textId="3347863A" w:rsidR="000D2ACE" w:rsidRPr="00734A7D" w:rsidRDefault="000D2ACE" w:rsidP="000D2ACE">
      <w:pPr>
        <w:spacing w:before="240" w:line="480" w:lineRule="auto"/>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Fagan AM, Mintun MA, Mach RH, Lee SY, Dence CS, Shah AR, LaRossa GN, Spinner ML, </w:t>
      </w:r>
    </w:p>
    <w:p w14:paraId="41373C1D"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Klink WE, Mathis CA, DeKosky ST, Morris JC, Holtzman DM, 2006. Inverse </w:t>
      </w:r>
    </w:p>
    <w:p w14:paraId="7F0A0E68"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relation between in vivo amyloid imaging load and cerebrospinal fluid Abeta</w:t>
      </w:r>
      <w:r w:rsidRPr="00734A7D">
        <w:rPr>
          <w:rStyle w:val="Hyperlink"/>
          <w:rFonts w:ascii="Times New Roman" w:hAnsi="Times New Roman" w:cs="Times New Roman"/>
          <w:color w:val="auto"/>
          <w:sz w:val="24"/>
          <w:szCs w:val="24"/>
          <w:u w:val="none"/>
          <w:vertAlign w:val="subscript"/>
        </w:rPr>
        <w:t>42</w:t>
      </w:r>
      <w:r w:rsidRPr="00734A7D">
        <w:rPr>
          <w:rStyle w:val="Hyperlink"/>
          <w:rFonts w:ascii="Times New Roman" w:hAnsi="Times New Roman" w:cs="Times New Roman"/>
          <w:color w:val="auto"/>
          <w:sz w:val="24"/>
          <w:szCs w:val="24"/>
          <w:u w:val="none"/>
        </w:rPr>
        <w:t xml:space="preserve"> in </w:t>
      </w:r>
    </w:p>
    <w:p w14:paraId="3FD79EDF"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humans. </w:t>
      </w:r>
      <w:r w:rsidRPr="00734A7D">
        <w:rPr>
          <w:rStyle w:val="Hyperlink"/>
          <w:rFonts w:ascii="Times New Roman" w:hAnsi="Times New Roman" w:cs="Times New Roman"/>
          <w:color w:val="auto"/>
          <w:sz w:val="24"/>
          <w:szCs w:val="24"/>
          <w:u w:val="none"/>
          <w:lang w:val="en-GB"/>
        </w:rPr>
        <w:t xml:space="preserve">Ann Neurol. 59(3), 512-519. Doi: </w:t>
      </w:r>
      <w:r w:rsidRPr="00734A7D">
        <w:rPr>
          <w:rStyle w:val="identifier"/>
          <w:rFonts w:ascii="Times New Roman" w:hAnsi="Times New Roman" w:cs="Times New Roman"/>
          <w:sz w:val="24"/>
          <w:szCs w:val="24"/>
          <w:lang w:val="en-GB"/>
        </w:rPr>
        <w:t>10.1002/ana.20730</w:t>
      </w:r>
    </w:p>
    <w:p w14:paraId="4DF6AADA" w14:textId="77777777" w:rsidR="000D2ACE" w:rsidRPr="00734A7D" w:rsidRDefault="000D2ACE" w:rsidP="000D2ACE">
      <w:pPr>
        <w:spacing w:before="240" w:line="480" w:lineRule="auto"/>
        <w:rPr>
          <w:rStyle w:val="Hyperlink"/>
          <w:rFonts w:ascii="Times New Roman" w:hAnsi="Times New Roman" w:cs="Times New Roman"/>
          <w:color w:val="auto"/>
          <w:sz w:val="24"/>
          <w:szCs w:val="24"/>
          <w:u w:val="none"/>
          <w:lang w:val="de-DE"/>
        </w:rPr>
      </w:pPr>
      <w:r w:rsidRPr="00734A7D">
        <w:rPr>
          <w:rStyle w:val="Hyperlink"/>
          <w:rFonts w:ascii="Times New Roman" w:hAnsi="Times New Roman" w:cs="Times New Roman"/>
          <w:color w:val="auto"/>
          <w:sz w:val="24"/>
          <w:szCs w:val="24"/>
          <w:u w:val="none"/>
          <w:lang w:val="de-DE"/>
        </w:rPr>
        <w:t xml:space="preserve">Fagan AM, Mintun MA, Shah AR, Aldea P, Roe CM, Mach RH, Marcus D, Morris JC, </w:t>
      </w:r>
    </w:p>
    <w:p w14:paraId="0B053EDF"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de-DE"/>
        </w:rPr>
        <w:t xml:space="preserve">Holtzman DM, 2009. </w:t>
      </w:r>
      <w:r w:rsidRPr="00734A7D">
        <w:rPr>
          <w:rStyle w:val="Hyperlink"/>
          <w:rFonts w:ascii="Times New Roman" w:hAnsi="Times New Roman" w:cs="Times New Roman"/>
          <w:color w:val="auto"/>
          <w:sz w:val="24"/>
          <w:szCs w:val="24"/>
          <w:u w:val="none"/>
          <w:lang w:val="en-GB"/>
        </w:rPr>
        <w:t>Cerebrospinal fluid tau and ptau</w:t>
      </w:r>
      <w:r w:rsidRPr="00734A7D">
        <w:rPr>
          <w:rStyle w:val="Hyperlink"/>
          <w:rFonts w:ascii="Times New Roman" w:hAnsi="Times New Roman" w:cs="Times New Roman"/>
          <w:color w:val="auto"/>
          <w:sz w:val="24"/>
          <w:szCs w:val="24"/>
          <w:u w:val="none"/>
          <w:vertAlign w:val="subscript"/>
          <w:lang w:val="en-GB"/>
        </w:rPr>
        <w:t>181</w:t>
      </w:r>
      <w:r w:rsidRPr="00734A7D">
        <w:rPr>
          <w:rStyle w:val="Hyperlink"/>
          <w:rFonts w:ascii="Times New Roman" w:hAnsi="Times New Roman" w:cs="Times New Roman"/>
          <w:color w:val="auto"/>
          <w:sz w:val="24"/>
          <w:szCs w:val="24"/>
          <w:u w:val="none"/>
          <w:lang w:val="en-GB"/>
        </w:rPr>
        <w:t xml:space="preserve"> increase with cortical </w:t>
      </w:r>
    </w:p>
    <w:p w14:paraId="6349A409"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lastRenderedPageBreak/>
        <w:t xml:space="preserve">amyloid deposition in cognitively normal individuals: Implications for future clinical </w:t>
      </w:r>
    </w:p>
    <w:p w14:paraId="1B26E1DC"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Style w:val="Hyperlink"/>
          <w:rFonts w:ascii="Times New Roman" w:hAnsi="Times New Roman" w:cs="Times New Roman"/>
          <w:color w:val="auto"/>
          <w:sz w:val="24"/>
          <w:szCs w:val="24"/>
          <w:u w:val="none"/>
          <w:lang w:val="en-GB"/>
        </w:rPr>
        <w:t xml:space="preserve">trials of Alzheimer’s disease. EMBO Mol Med. 1(8-9), 371-380. </w:t>
      </w:r>
      <w:r w:rsidRPr="00734A7D">
        <w:rPr>
          <w:rFonts w:ascii="Times New Roman" w:hAnsi="Times New Roman" w:cs="Times New Roman"/>
          <w:sz w:val="24"/>
          <w:szCs w:val="24"/>
        </w:rPr>
        <w:t xml:space="preserve">Doi: </w:t>
      </w:r>
    </w:p>
    <w:p w14:paraId="19E1F743" w14:textId="4DDAA91D" w:rsidR="000D2ACE" w:rsidRPr="00734A7D" w:rsidRDefault="000D2ACE" w:rsidP="000D2ACE">
      <w:pPr>
        <w:spacing w:before="240" w:line="480" w:lineRule="auto"/>
        <w:ind w:firstLine="720"/>
        <w:rPr>
          <w:rFonts w:ascii="Times New Roman" w:hAnsi="Times New Roman" w:cs="Times New Roman"/>
          <w:sz w:val="24"/>
          <w:szCs w:val="24"/>
          <w:shd w:val="clear" w:color="auto" w:fill="FFFFFF"/>
        </w:rPr>
      </w:pPr>
      <w:r w:rsidRPr="00734A7D">
        <w:rPr>
          <w:rFonts w:ascii="Times New Roman" w:hAnsi="Times New Roman" w:cs="Times New Roman"/>
          <w:sz w:val="24"/>
          <w:szCs w:val="24"/>
          <w:shd w:val="clear" w:color="auto" w:fill="FFFFFF"/>
        </w:rPr>
        <w:t>10.1002/emmm.200900048</w:t>
      </w:r>
    </w:p>
    <w:p w14:paraId="762B1D5B" w14:textId="77777777" w:rsidR="007966CF" w:rsidRPr="00734A7D" w:rsidRDefault="007966CF" w:rsidP="007966CF">
      <w:pPr>
        <w:spacing w:before="240" w:line="480" w:lineRule="auto"/>
        <w:rPr>
          <w:rFonts w:ascii="Times New Roman" w:hAnsi="Times New Roman" w:cs="Times New Roman"/>
          <w:sz w:val="24"/>
          <w:szCs w:val="24"/>
          <w:shd w:val="clear" w:color="auto" w:fill="FFFFFF"/>
        </w:rPr>
      </w:pPr>
      <w:r w:rsidRPr="00734A7D">
        <w:rPr>
          <w:rFonts w:ascii="Times New Roman" w:hAnsi="Times New Roman" w:cs="Times New Roman"/>
          <w:sz w:val="24"/>
          <w:szCs w:val="24"/>
          <w:shd w:val="clear" w:color="auto" w:fill="FFFFFF"/>
        </w:rPr>
        <w:t xml:space="preserve">Farrell ME, Chen X, Rundle MM, Chan MY, Wig GS, Park DC, 2018. Regional amyloid </w:t>
      </w:r>
    </w:p>
    <w:p w14:paraId="63B2BFF2" w14:textId="77777777" w:rsidR="007966CF" w:rsidRPr="00734A7D" w:rsidRDefault="007966CF" w:rsidP="007966CF">
      <w:pPr>
        <w:spacing w:before="240" w:line="480" w:lineRule="auto"/>
        <w:ind w:firstLine="720"/>
        <w:rPr>
          <w:rFonts w:ascii="Times New Roman" w:hAnsi="Times New Roman" w:cs="Times New Roman"/>
          <w:sz w:val="24"/>
          <w:szCs w:val="24"/>
          <w:shd w:val="clear" w:color="auto" w:fill="FFFFFF"/>
        </w:rPr>
      </w:pPr>
      <w:r w:rsidRPr="00734A7D">
        <w:rPr>
          <w:rFonts w:ascii="Times New Roman" w:hAnsi="Times New Roman" w:cs="Times New Roman"/>
          <w:sz w:val="24"/>
          <w:szCs w:val="24"/>
          <w:shd w:val="clear" w:color="auto" w:fill="FFFFFF"/>
        </w:rPr>
        <w:t xml:space="preserve">accumulation and cognitive decline in initially amyloid-negative adults. Neurology </w:t>
      </w:r>
    </w:p>
    <w:p w14:paraId="5896ADB4" w14:textId="431A62C0" w:rsidR="007966CF" w:rsidRPr="00734A7D" w:rsidRDefault="007966CF" w:rsidP="007966CF">
      <w:pPr>
        <w:spacing w:before="240" w:line="480" w:lineRule="auto"/>
        <w:ind w:firstLine="720"/>
        <w:rPr>
          <w:rFonts w:ascii="Times New Roman" w:hAnsi="Times New Roman" w:cs="Times New Roman"/>
          <w:sz w:val="24"/>
          <w:szCs w:val="24"/>
          <w:shd w:val="clear" w:color="auto" w:fill="FFFFFF"/>
        </w:rPr>
      </w:pPr>
      <w:r w:rsidRPr="00734A7D">
        <w:rPr>
          <w:rFonts w:ascii="Times New Roman" w:hAnsi="Times New Roman" w:cs="Times New Roman"/>
          <w:sz w:val="24"/>
          <w:szCs w:val="24"/>
          <w:shd w:val="clear" w:color="auto" w:fill="FFFFFF"/>
        </w:rPr>
        <w:t>91(19):e1809-e1821. Doi: 10.1212/WNL.0000000000006469.</w:t>
      </w:r>
    </w:p>
    <w:p w14:paraId="35C5A884" w14:textId="77777777" w:rsidR="000D2ACE" w:rsidRPr="00734A7D" w:rsidRDefault="000D2ACE" w:rsidP="000D2ACE">
      <w:pPr>
        <w:spacing w:before="240" w:line="480" w:lineRule="auto"/>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 xml:space="preserve">Ferreira D, Rivero-Santana A, Perestelo-Pérez L, Westman E, Wahlund LO, Sarría A, </w:t>
      </w:r>
    </w:p>
    <w:p w14:paraId="7ADE94A9"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 xml:space="preserve">Serrano-Aguilar P, 2014. Improving CSF biomarkers’ performance for predicting </w:t>
      </w:r>
    </w:p>
    <w:p w14:paraId="47FA06E3"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 xml:space="preserve">progression from mild cognitive impairment to Alzheimer’s disease by considering </w:t>
      </w:r>
    </w:p>
    <w:p w14:paraId="5DE71718"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Style w:val="Hyperlink"/>
          <w:rFonts w:ascii="Times New Roman" w:hAnsi="Times New Roman" w:cs="Times New Roman"/>
          <w:color w:val="auto"/>
          <w:sz w:val="24"/>
          <w:szCs w:val="24"/>
          <w:u w:val="none"/>
          <w:lang w:val="en-GB"/>
        </w:rPr>
        <w:t>different confounding factors: A meta-analysis. Front Aging Neurosci. 6, 287.</w:t>
      </w:r>
      <w:r w:rsidRPr="00734A7D">
        <w:rPr>
          <w:rFonts w:ascii="Times New Roman" w:hAnsi="Times New Roman" w:cs="Times New Roman"/>
          <w:sz w:val="24"/>
          <w:szCs w:val="24"/>
          <w:lang w:val="en-GB"/>
        </w:rPr>
        <w:t xml:space="preserve"> </w:t>
      </w:r>
      <w:r w:rsidRPr="00734A7D">
        <w:rPr>
          <w:rFonts w:ascii="Times New Roman" w:hAnsi="Times New Roman" w:cs="Times New Roman"/>
          <w:sz w:val="24"/>
          <w:szCs w:val="24"/>
        </w:rPr>
        <w:t xml:space="preserve">Doi: </w:t>
      </w:r>
    </w:p>
    <w:p w14:paraId="16FE5312" w14:textId="60205C5F"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lang w:val="en-GB"/>
        </w:rPr>
      </w:pPr>
      <w:r w:rsidRPr="00734A7D">
        <w:rPr>
          <w:rFonts w:ascii="Times New Roman" w:hAnsi="Times New Roman" w:cs="Times New Roman"/>
          <w:sz w:val="24"/>
          <w:szCs w:val="24"/>
          <w:shd w:val="clear" w:color="auto" w:fill="FFFFFF"/>
        </w:rPr>
        <w:t>10.3389/fnagi.2014.00287</w:t>
      </w:r>
    </w:p>
    <w:p w14:paraId="4DD8D308" w14:textId="3F38E922" w:rsidR="000D2ACE" w:rsidRPr="00734A7D" w:rsidRDefault="000D2ACE" w:rsidP="000D2ACE">
      <w:pPr>
        <w:spacing w:before="240" w:line="480" w:lineRule="auto"/>
        <w:rPr>
          <w:rStyle w:val="Hyperlink"/>
          <w:rFonts w:ascii="Times New Roman" w:hAnsi="Times New Roman" w:cs="Times New Roman"/>
          <w:color w:val="auto"/>
          <w:sz w:val="24"/>
          <w:szCs w:val="24"/>
          <w:u w:val="none"/>
          <w:lang w:val="de-DE"/>
        </w:rPr>
      </w:pPr>
      <w:r w:rsidRPr="00734A7D">
        <w:rPr>
          <w:rStyle w:val="Hyperlink"/>
          <w:rFonts w:ascii="Times New Roman" w:hAnsi="Times New Roman" w:cs="Times New Roman"/>
          <w:color w:val="auto"/>
          <w:sz w:val="24"/>
          <w:szCs w:val="24"/>
          <w:u w:val="none"/>
          <w:lang w:val="de-DE"/>
        </w:rPr>
        <w:t xml:space="preserve">Frings L, Hellwig S, Spehl TS, Bormann T, Buchert R, Vach W, Minkova L, Heimbach B, </w:t>
      </w:r>
    </w:p>
    <w:p w14:paraId="1224C535"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Style w:val="Hyperlink"/>
          <w:rFonts w:ascii="Times New Roman" w:hAnsi="Times New Roman" w:cs="Times New Roman"/>
          <w:color w:val="auto"/>
          <w:sz w:val="24"/>
          <w:szCs w:val="24"/>
          <w:u w:val="none"/>
          <w:lang w:val="en-GB"/>
        </w:rPr>
        <w:t xml:space="preserve">Klöppel S, Meyer PT, 2015. </w:t>
      </w:r>
      <w:r w:rsidRPr="00734A7D">
        <w:rPr>
          <w:rStyle w:val="Hyperlink"/>
          <w:rFonts w:ascii="Times New Roman" w:hAnsi="Times New Roman" w:cs="Times New Roman"/>
          <w:color w:val="auto"/>
          <w:sz w:val="24"/>
          <w:szCs w:val="24"/>
          <w:u w:val="none"/>
        </w:rPr>
        <w:t>Asymmetries of amyloid-</w:t>
      </w:r>
      <w:r w:rsidRPr="00734A7D">
        <w:rPr>
          <w:rFonts w:ascii="Times New Roman" w:hAnsi="Times New Roman" w:cs="Times New Roman"/>
          <w:sz w:val="24"/>
          <w:szCs w:val="24"/>
        </w:rPr>
        <w:t xml:space="preserve">β burden and neuronal </w:t>
      </w:r>
    </w:p>
    <w:p w14:paraId="27AE39ED"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dysfunction are positively correlated in Alzheimer’s disease. Brain 138, 3089-3099. </w:t>
      </w:r>
    </w:p>
    <w:p w14:paraId="146DA828" w14:textId="38971731"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Doi: 10.1093/brain/awv229 </w:t>
      </w:r>
    </w:p>
    <w:p w14:paraId="15B631BC" w14:textId="77777777" w:rsidR="000D2ACE" w:rsidRPr="00734A7D" w:rsidRDefault="000D2ACE" w:rsidP="000D2ACE">
      <w:pPr>
        <w:spacing w:before="240" w:line="480" w:lineRule="auto"/>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Frisoni GB, Govoni S, Geroldi C, Bianchetti A, Calabresi L, Franceschini G, Trabucchi M, </w:t>
      </w:r>
    </w:p>
    <w:p w14:paraId="099EB086"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lang w:val="en-GB"/>
        </w:rPr>
        <w:t xml:space="preserve">1995. </w:t>
      </w:r>
      <w:r w:rsidRPr="00734A7D">
        <w:rPr>
          <w:rFonts w:ascii="Times New Roman" w:hAnsi="Times New Roman" w:cs="Times New Roman"/>
          <w:sz w:val="24"/>
          <w:szCs w:val="24"/>
        </w:rPr>
        <w:t xml:space="preserve">Gene dose of the Ɛ4 allele of apolipoprotein E and disease progression in </w:t>
      </w:r>
    </w:p>
    <w:p w14:paraId="27E6B323"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rPr>
        <w:t xml:space="preserve">sporadic late-onset Alzheimer’s disease. </w:t>
      </w:r>
      <w:r w:rsidRPr="00734A7D">
        <w:rPr>
          <w:rFonts w:ascii="Times New Roman" w:hAnsi="Times New Roman" w:cs="Times New Roman"/>
          <w:sz w:val="24"/>
          <w:szCs w:val="24"/>
          <w:lang w:val="en-GB"/>
        </w:rPr>
        <w:t xml:space="preserve">Ann Neurol. 37, 596-604. Doi: </w:t>
      </w:r>
    </w:p>
    <w:p w14:paraId="176195A2" w14:textId="631CE2E4"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lastRenderedPageBreak/>
        <w:t>10.1002/ana.410370509</w:t>
      </w:r>
    </w:p>
    <w:p w14:paraId="606FC8C0" w14:textId="77777777" w:rsidR="00C90FA3" w:rsidRPr="00734A7D" w:rsidRDefault="00C90FA3" w:rsidP="00C90FA3">
      <w:pPr>
        <w:spacing w:before="240" w:line="480" w:lineRule="auto"/>
        <w:rPr>
          <w:rFonts w:ascii="Times New Roman" w:hAnsi="Times New Roman" w:cs="Times New Roman"/>
          <w:sz w:val="24"/>
          <w:szCs w:val="24"/>
        </w:rPr>
      </w:pPr>
      <w:r w:rsidRPr="00734A7D">
        <w:rPr>
          <w:rFonts w:ascii="Times New Roman" w:hAnsi="Times New Roman" w:cs="Times New Roman"/>
          <w:sz w:val="24"/>
          <w:szCs w:val="24"/>
        </w:rPr>
        <w:t xml:space="preserve">Guo T, Landau SM, Jagust WJ, for the Alzheimr’s Disease Neuroimaging Initiative, 2020. </w:t>
      </w:r>
    </w:p>
    <w:p w14:paraId="622078DF" w14:textId="77777777" w:rsidR="00C90FA3" w:rsidRPr="00734A7D" w:rsidRDefault="00C90FA3" w:rsidP="00C90FA3">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Detecting earlier stages of amyloid deposition using PET in cognitively normal </w:t>
      </w:r>
    </w:p>
    <w:p w14:paraId="3AE70878" w14:textId="77777777" w:rsidR="00C90FA3" w:rsidRPr="00734A7D" w:rsidRDefault="00C90FA3" w:rsidP="00C90FA3">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elderly adults. Neurology 94(14):e1512-e1524. Doi: </w:t>
      </w:r>
    </w:p>
    <w:p w14:paraId="66392EED" w14:textId="6F696F7D" w:rsidR="00C90FA3" w:rsidRPr="00734A7D" w:rsidRDefault="00C90FA3" w:rsidP="00C90FA3">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10.1212/WNL.0000000000009216</w:t>
      </w:r>
    </w:p>
    <w:p w14:paraId="3A2E1AA6" w14:textId="2F943DE9" w:rsidR="000D2ACE" w:rsidRPr="00734A7D" w:rsidRDefault="000D2ACE" w:rsidP="000D2ACE">
      <w:pPr>
        <w:spacing w:before="240" w:line="480" w:lineRule="auto"/>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Grothe MJ, Barthel H, Sepulcre J, Dyrba M, Sabri O, Teipel SJ, for the Alzheimer's Disease </w:t>
      </w:r>
    </w:p>
    <w:p w14:paraId="15C122B5"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Neuroimaging Initiative, 2017. In vivo staging of regional amyloid deposition. AAN </w:t>
      </w:r>
    </w:p>
    <w:p w14:paraId="2D5D2969" w14:textId="3683CD2A"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89, 2031-2038. Doi: 10.1212/WNL.0000000000004643</w:t>
      </w:r>
    </w:p>
    <w:p w14:paraId="5E223DC7" w14:textId="77777777" w:rsidR="003133AC" w:rsidRPr="00734A7D" w:rsidRDefault="00724953" w:rsidP="00724953">
      <w:pPr>
        <w:spacing w:before="240" w:line="480" w:lineRule="auto"/>
        <w:rPr>
          <w:rFonts w:ascii="Times New Roman" w:hAnsi="Times New Roman" w:cs="Times New Roman"/>
          <w:sz w:val="24"/>
          <w:szCs w:val="24"/>
          <w:lang w:val="en-GB"/>
        </w:rPr>
      </w:pPr>
      <w:r w:rsidRPr="00734A7D">
        <w:rPr>
          <w:rFonts w:ascii="Times New Roman" w:hAnsi="Times New Roman" w:cs="Times New Roman"/>
          <w:sz w:val="24"/>
          <w:szCs w:val="24"/>
          <w:lang w:val="en-GB"/>
        </w:rPr>
        <w:t>Hanseeuw</w:t>
      </w:r>
      <w:r w:rsidR="00CE2EB1" w:rsidRPr="00734A7D">
        <w:rPr>
          <w:rFonts w:ascii="Times New Roman" w:hAnsi="Times New Roman" w:cs="Times New Roman"/>
          <w:sz w:val="24"/>
          <w:szCs w:val="24"/>
          <w:lang w:val="en-GB"/>
        </w:rPr>
        <w:t xml:space="preserve"> BJ, Betensky RA, Mormino EC, Schultz AP, </w:t>
      </w:r>
      <w:r w:rsidR="00B9479F" w:rsidRPr="00734A7D">
        <w:rPr>
          <w:rFonts w:ascii="Times New Roman" w:hAnsi="Times New Roman" w:cs="Times New Roman"/>
          <w:sz w:val="24"/>
          <w:szCs w:val="24"/>
          <w:lang w:val="en-GB"/>
        </w:rPr>
        <w:t xml:space="preserve">Sepulcre J, Becker JA, Jacobs HIL, </w:t>
      </w:r>
    </w:p>
    <w:p w14:paraId="06049CFD" w14:textId="77777777" w:rsidR="003133AC" w:rsidRPr="00734A7D" w:rsidRDefault="00B9479F" w:rsidP="003133AC">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Buckley RF, LaPoint MR, Vannini P, Donovan NJ, Chhatwal JP, Marshall GA</w:t>
      </w:r>
      <w:r w:rsidR="006C5616" w:rsidRPr="00734A7D">
        <w:rPr>
          <w:rFonts w:ascii="Times New Roman" w:hAnsi="Times New Roman" w:cs="Times New Roman"/>
          <w:sz w:val="24"/>
          <w:szCs w:val="24"/>
          <w:lang w:val="en-GB"/>
        </w:rPr>
        <w:t xml:space="preserve">, Papp </w:t>
      </w:r>
    </w:p>
    <w:p w14:paraId="03217D74" w14:textId="77777777" w:rsidR="003133AC" w:rsidRPr="00734A7D" w:rsidRDefault="006C5616" w:rsidP="003133AC">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KV, Amariglio RE, Rentz DM, Sperling RA, Johnson KA, Alzheimer’s Disease </w:t>
      </w:r>
    </w:p>
    <w:p w14:paraId="5D7F482D" w14:textId="77777777" w:rsidR="003133AC" w:rsidRPr="00734A7D" w:rsidRDefault="006C5616" w:rsidP="003133AC">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Neuroimaging Initiative; Harvard Aging Brain Study, 2020. PET staging of </w:t>
      </w:r>
    </w:p>
    <w:p w14:paraId="73CE181D" w14:textId="77777777" w:rsidR="003133AC" w:rsidRPr="00734A7D" w:rsidRDefault="006C5616" w:rsidP="003133AC">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lang w:val="en-GB"/>
        </w:rPr>
        <w:t>amyloid</w:t>
      </w:r>
      <w:r w:rsidR="003133AC" w:rsidRPr="00734A7D">
        <w:rPr>
          <w:rFonts w:ascii="Times New Roman" w:hAnsi="Times New Roman" w:cs="Times New Roman"/>
          <w:sz w:val="24"/>
          <w:szCs w:val="24"/>
          <w:lang w:val="en-GB"/>
        </w:rPr>
        <w:t xml:space="preserve">osis using striatum. </w:t>
      </w:r>
      <w:r w:rsidR="003133AC" w:rsidRPr="00734A7D">
        <w:rPr>
          <w:rFonts w:ascii="Times New Roman" w:hAnsi="Times New Roman" w:cs="Times New Roman"/>
          <w:sz w:val="24"/>
          <w:szCs w:val="24"/>
        </w:rPr>
        <w:t xml:space="preserve">Alzheimers Dement. 14(10), 1281-1292. Doi: </w:t>
      </w:r>
    </w:p>
    <w:p w14:paraId="796284C5" w14:textId="7700C68D" w:rsidR="00724953" w:rsidRPr="00734A7D" w:rsidRDefault="003133AC" w:rsidP="003133AC">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10.1016/j.jalz.2018.04.011</w:t>
      </w:r>
    </w:p>
    <w:p w14:paraId="21EDCECE" w14:textId="77777777" w:rsidR="000D2ACE" w:rsidRPr="00734A7D" w:rsidRDefault="000D2ACE" w:rsidP="000D2ACE">
      <w:pPr>
        <w:pStyle w:val="KeinLeerraum"/>
        <w:spacing w:before="240" w:after="160" w:line="480" w:lineRule="auto"/>
        <w:rPr>
          <w:rFonts w:ascii="Times New Roman" w:hAnsi="Times New Roman" w:cs="Times New Roman"/>
          <w:sz w:val="24"/>
          <w:szCs w:val="24"/>
          <w:lang w:val="en-US"/>
        </w:rPr>
      </w:pPr>
      <w:r w:rsidRPr="00734A7D">
        <w:rPr>
          <w:rFonts w:ascii="Times New Roman" w:hAnsi="Times New Roman" w:cs="Times New Roman"/>
          <w:sz w:val="24"/>
          <w:szCs w:val="24"/>
          <w:lang w:val="en-US"/>
        </w:rPr>
        <w:t xml:space="preserve">Hirono N, Hashimoto M, Yasuda M, Kazui H, Mori E, 2003. Accelerated memory decline in </w:t>
      </w:r>
    </w:p>
    <w:p w14:paraId="3B23726D" w14:textId="77777777" w:rsidR="000D2ACE" w:rsidRPr="00734A7D" w:rsidRDefault="000D2ACE" w:rsidP="000D2ACE">
      <w:pPr>
        <w:pStyle w:val="KeinLeerraum"/>
        <w:spacing w:before="240" w:after="160" w:line="480" w:lineRule="auto"/>
        <w:ind w:firstLine="720"/>
        <w:rPr>
          <w:rFonts w:ascii="Times New Roman" w:hAnsi="Times New Roman" w:cs="Times New Roman"/>
          <w:sz w:val="24"/>
          <w:szCs w:val="24"/>
          <w:lang w:val="en-US"/>
        </w:rPr>
      </w:pPr>
      <w:r w:rsidRPr="00734A7D">
        <w:rPr>
          <w:rFonts w:ascii="Times New Roman" w:hAnsi="Times New Roman" w:cs="Times New Roman"/>
          <w:sz w:val="24"/>
          <w:szCs w:val="24"/>
          <w:lang w:val="en-US"/>
        </w:rPr>
        <w:t xml:space="preserve">Alzheimer’s disease with apolipoprotein epsilon4 allele. J Neuropsychiatry Clin </w:t>
      </w:r>
    </w:p>
    <w:p w14:paraId="5AF27134" w14:textId="3BE5D340" w:rsidR="000D2ACE" w:rsidRPr="00734A7D" w:rsidRDefault="000D2ACE" w:rsidP="000D2ACE">
      <w:pPr>
        <w:pStyle w:val="KeinLeerraum"/>
        <w:spacing w:before="240" w:after="16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US"/>
        </w:rPr>
        <w:t xml:space="preserve">Neurosc. </w:t>
      </w:r>
      <w:r w:rsidRPr="00734A7D">
        <w:rPr>
          <w:rFonts w:ascii="Times New Roman" w:hAnsi="Times New Roman" w:cs="Times New Roman"/>
          <w:sz w:val="24"/>
          <w:szCs w:val="24"/>
          <w:lang w:val="en-GB"/>
        </w:rPr>
        <w:t>15(3), 354-358. Doi: 10.1176/jnp.15.3.354</w:t>
      </w:r>
    </w:p>
    <w:p w14:paraId="19DD525F" w14:textId="77777777" w:rsidR="00E64705" w:rsidRPr="00734A7D" w:rsidRDefault="00E64705" w:rsidP="00E64705">
      <w:pPr>
        <w:pStyle w:val="KeinLeerraum"/>
        <w:spacing w:before="240" w:after="160" w:line="480" w:lineRule="auto"/>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Jack Jr CR, Albert MS, Knopman DS, McKhann GM, Sperling RA, Carrillo MC, Thies B, </w:t>
      </w:r>
    </w:p>
    <w:p w14:paraId="722C3636" w14:textId="77777777" w:rsidR="00E64705" w:rsidRPr="00734A7D" w:rsidRDefault="00E64705" w:rsidP="00E64705">
      <w:pPr>
        <w:pStyle w:val="KeinLeerraum"/>
        <w:spacing w:before="240" w:after="16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lastRenderedPageBreak/>
        <w:t xml:space="preserve">Phelps CH, 2011. Introduction to the recommendations from the National Institute on </w:t>
      </w:r>
    </w:p>
    <w:p w14:paraId="262A4728" w14:textId="77777777" w:rsidR="00E64705" w:rsidRPr="00734A7D" w:rsidRDefault="00E64705" w:rsidP="00E64705">
      <w:pPr>
        <w:pStyle w:val="KeinLeerraum"/>
        <w:spacing w:before="240" w:after="16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Aging-Alzheimer’s Association workgroups on diagnostic guidelines for Alzheimer’s </w:t>
      </w:r>
    </w:p>
    <w:p w14:paraId="7AE60D12" w14:textId="23BDCBAA" w:rsidR="00E64705" w:rsidRPr="00734A7D" w:rsidRDefault="00E64705" w:rsidP="00E64705">
      <w:pPr>
        <w:pStyle w:val="KeinLeerraum"/>
        <w:spacing w:before="240" w:after="16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disease. Alzheimers Dement</w:t>
      </w:r>
      <w:r w:rsidR="00183AB9" w:rsidRPr="00734A7D">
        <w:rPr>
          <w:rFonts w:ascii="Times New Roman" w:hAnsi="Times New Roman" w:cs="Times New Roman"/>
          <w:sz w:val="24"/>
          <w:szCs w:val="24"/>
          <w:lang w:val="en-GB"/>
        </w:rPr>
        <w:t>.</w:t>
      </w:r>
      <w:r w:rsidRPr="00734A7D">
        <w:rPr>
          <w:rFonts w:ascii="Times New Roman" w:hAnsi="Times New Roman" w:cs="Times New Roman"/>
          <w:sz w:val="24"/>
          <w:szCs w:val="24"/>
          <w:lang w:val="en-GB"/>
        </w:rPr>
        <w:t xml:space="preserve"> 7(3), 257-262. Doi: 10.1016/j.jalz.2011.03.004</w:t>
      </w:r>
    </w:p>
    <w:p w14:paraId="781DFE44" w14:textId="77777777" w:rsidR="000D2ACE" w:rsidRPr="00734A7D" w:rsidRDefault="000D2ACE" w:rsidP="000D2ACE">
      <w:pPr>
        <w:spacing w:before="240" w:line="480" w:lineRule="auto"/>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Jun S, Heeyoung K, Bum Soo K, Bong-Goo Y, Won Gu L, Alzheimer’s Disease </w:t>
      </w:r>
    </w:p>
    <w:p w14:paraId="31B08166"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lang w:val="en-GB"/>
        </w:rPr>
        <w:t xml:space="preserve">Neuroimaging Initiative, 2019. </w:t>
      </w:r>
      <w:r w:rsidRPr="00734A7D">
        <w:rPr>
          <w:rFonts w:ascii="Times New Roman" w:hAnsi="Times New Roman" w:cs="Times New Roman"/>
          <w:sz w:val="24"/>
          <w:szCs w:val="24"/>
        </w:rPr>
        <w:t>Quantitative brain amyloid measures predict time-to-</w:t>
      </w:r>
    </w:p>
    <w:p w14:paraId="5B60E1EC" w14:textId="77777777" w:rsidR="000D2ACE" w:rsidRPr="00734A7D" w:rsidRDefault="000D2ACE" w:rsidP="000D2ACE">
      <w:pPr>
        <w:spacing w:before="240" w:line="480" w:lineRule="auto"/>
        <w:ind w:firstLine="720"/>
        <w:rPr>
          <w:rFonts w:ascii="Times New Roman" w:hAnsi="Times New Roman" w:cs="Times New Roman"/>
          <w:sz w:val="24"/>
          <w:szCs w:val="24"/>
          <w:lang w:val="de-DE"/>
        </w:rPr>
      </w:pPr>
      <w:r w:rsidRPr="00734A7D">
        <w:rPr>
          <w:rFonts w:ascii="Times New Roman" w:hAnsi="Times New Roman" w:cs="Times New Roman"/>
          <w:sz w:val="24"/>
          <w:szCs w:val="24"/>
        </w:rPr>
        <w:t xml:space="preserve">progression from amnestic mild cognitive impairment to Alzheimer’s Disease. </w:t>
      </w:r>
      <w:r w:rsidRPr="00734A7D">
        <w:rPr>
          <w:rFonts w:ascii="Times New Roman" w:hAnsi="Times New Roman" w:cs="Times New Roman"/>
          <w:sz w:val="24"/>
          <w:szCs w:val="24"/>
          <w:lang w:val="de-DE"/>
        </w:rPr>
        <w:t xml:space="preserve">J </w:t>
      </w:r>
    </w:p>
    <w:p w14:paraId="7A0049D9" w14:textId="1B170ADA" w:rsidR="000D2ACE" w:rsidRPr="00734A7D" w:rsidRDefault="000D2ACE" w:rsidP="000D2ACE">
      <w:pPr>
        <w:spacing w:before="240" w:line="480" w:lineRule="auto"/>
        <w:ind w:firstLine="720"/>
        <w:rPr>
          <w:rFonts w:ascii="Times New Roman" w:hAnsi="Times New Roman" w:cs="Times New Roman"/>
          <w:sz w:val="24"/>
          <w:szCs w:val="24"/>
          <w:lang w:val="de-DE"/>
        </w:rPr>
      </w:pPr>
      <w:r w:rsidRPr="00734A7D">
        <w:rPr>
          <w:rFonts w:ascii="Times New Roman" w:hAnsi="Times New Roman" w:cs="Times New Roman"/>
          <w:sz w:val="24"/>
          <w:szCs w:val="24"/>
          <w:lang w:val="de-DE"/>
        </w:rPr>
        <w:t>Alzheimers Dis. 70(2), 477-486. Doi: 10.3233/jad-190070</w:t>
      </w:r>
    </w:p>
    <w:p w14:paraId="7328A280" w14:textId="77777777" w:rsidR="000D2ACE" w:rsidRPr="00734A7D" w:rsidRDefault="000D2ACE" w:rsidP="000D2ACE">
      <w:pPr>
        <w:pStyle w:val="KeinLeerraum"/>
        <w:spacing w:before="240" w:after="160" w:line="480" w:lineRule="auto"/>
        <w:rPr>
          <w:rFonts w:ascii="Times New Roman" w:hAnsi="Times New Roman" w:cs="Times New Roman"/>
          <w:sz w:val="24"/>
          <w:szCs w:val="24"/>
          <w:lang w:val="en-US"/>
        </w:rPr>
      </w:pPr>
      <w:r w:rsidRPr="00734A7D">
        <w:rPr>
          <w:rFonts w:ascii="Times New Roman" w:hAnsi="Times New Roman" w:cs="Times New Roman"/>
          <w:sz w:val="24"/>
          <w:szCs w:val="24"/>
        </w:rPr>
        <w:t xml:space="preserve">Kanekiyo T, Xu H, Bu G, 2014. </w:t>
      </w:r>
      <w:r w:rsidRPr="00734A7D">
        <w:rPr>
          <w:rFonts w:ascii="Times New Roman" w:hAnsi="Times New Roman" w:cs="Times New Roman"/>
          <w:sz w:val="24"/>
          <w:szCs w:val="24"/>
          <w:lang w:val="en-US"/>
        </w:rPr>
        <w:t xml:space="preserve">ApoE and Aβ in Alzheimer’s disease: accidently encounters </w:t>
      </w:r>
    </w:p>
    <w:p w14:paraId="5E07FAAD" w14:textId="18510A61" w:rsidR="000D2ACE" w:rsidRPr="00734A7D" w:rsidRDefault="000D2ACE" w:rsidP="000D2ACE">
      <w:pPr>
        <w:pStyle w:val="KeinLeerraum"/>
        <w:spacing w:before="240" w:after="160" w:line="480" w:lineRule="auto"/>
        <w:ind w:firstLine="720"/>
        <w:rPr>
          <w:rFonts w:ascii="Times New Roman" w:hAnsi="Times New Roman" w:cs="Times New Roman"/>
          <w:sz w:val="24"/>
          <w:szCs w:val="24"/>
          <w:lang w:val="en-US"/>
        </w:rPr>
      </w:pPr>
      <w:r w:rsidRPr="00734A7D">
        <w:rPr>
          <w:rFonts w:ascii="Times New Roman" w:hAnsi="Times New Roman" w:cs="Times New Roman"/>
          <w:sz w:val="24"/>
          <w:szCs w:val="24"/>
          <w:lang w:val="en-US"/>
        </w:rPr>
        <w:t>or partners? Neuron. 81(4), 740-754. Doi: 10.1016/j.neuron.2014.01.045</w:t>
      </w:r>
    </w:p>
    <w:p w14:paraId="644ABDDF" w14:textId="77777777" w:rsidR="000D2ACE" w:rsidRPr="00734A7D" w:rsidRDefault="000D2ACE" w:rsidP="000D2ACE">
      <w:pPr>
        <w:spacing w:before="240" w:line="480" w:lineRule="auto"/>
        <w:rPr>
          <w:rFonts w:ascii="Times New Roman" w:hAnsi="Times New Roman" w:cs="Times New Roman"/>
          <w:sz w:val="24"/>
          <w:szCs w:val="24"/>
          <w:lang w:val="de-DE"/>
        </w:rPr>
      </w:pPr>
      <w:r w:rsidRPr="00734A7D">
        <w:rPr>
          <w:rFonts w:ascii="Times New Roman" w:hAnsi="Times New Roman" w:cs="Times New Roman"/>
          <w:sz w:val="24"/>
          <w:szCs w:val="24"/>
          <w:lang w:val="de-DE"/>
        </w:rPr>
        <w:t xml:space="preserve">Kleiman T, Zdanys K, Black B, Rightmer T, Grey M, Garman K, Macovoy M, Gelernter J, </w:t>
      </w:r>
    </w:p>
    <w:p w14:paraId="2262F558"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lang w:val="en-GB"/>
        </w:rPr>
        <w:t xml:space="preserve">van Dyck C, 2006. </w:t>
      </w:r>
      <w:r w:rsidRPr="00734A7D">
        <w:rPr>
          <w:rFonts w:ascii="Times New Roman" w:hAnsi="Times New Roman" w:cs="Times New Roman"/>
          <w:sz w:val="24"/>
          <w:szCs w:val="24"/>
        </w:rPr>
        <w:t xml:space="preserve">Apolipoprotein E epsilon4 allele is unrelated to cognitive or </w:t>
      </w:r>
    </w:p>
    <w:p w14:paraId="496B08EF"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functional decline in Alzheimer’s disease: retrospective and prospective </w:t>
      </w:r>
    </w:p>
    <w:p w14:paraId="7807F4E4" w14:textId="586B8522"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analysis. Dement Geriatr Cogn Disord. 22(1), 73-82. Doi: </w:t>
      </w:r>
      <w:hyperlink r:id="rId10" w:tgtFrame="_blank" w:history="1">
        <w:r w:rsidRPr="00734A7D">
          <w:rPr>
            <w:rFonts w:ascii="Times New Roman" w:hAnsi="Times New Roman" w:cs="Times New Roman"/>
            <w:sz w:val="24"/>
            <w:szCs w:val="24"/>
          </w:rPr>
          <w:t>10.1159/000093316</w:t>
        </w:r>
      </w:hyperlink>
    </w:p>
    <w:p w14:paraId="6CEED66B" w14:textId="77777777" w:rsidR="000D2ACE" w:rsidRPr="00734A7D" w:rsidRDefault="000D2ACE" w:rsidP="000D2ACE">
      <w:pPr>
        <w:spacing w:before="240" w:line="480" w:lineRule="auto"/>
        <w:rPr>
          <w:rFonts w:ascii="Times New Roman" w:hAnsi="Times New Roman" w:cs="Times New Roman"/>
          <w:sz w:val="24"/>
          <w:szCs w:val="24"/>
        </w:rPr>
      </w:pPr>
      <w:r w:rsidRPr="00734A7D">
        <w:rPr>
          <w:rFonts w:ascii="Times New Roman" w:hAnsi="Times New Roman" w:cs="Times New Roman"/>
          <w:sz w:val="24"/>
          <w:szCs w:val="24"/>
          <w:lang w:val="en-GB"/>
        </w:rPr>
        <w:t xml:space="preserve">Landau S, Jagust W, 2015. </w:t>
      </w:r>
      <w:r w:rsidRPr="00734A7D">
        <w:rPr>
          <w:rFonts w:ascii="Times New Roman" w:hAnsi="Times New Roman" w:cs="Times New Roman"/>
          <w:sz w:val="24"/>
          <w:szCs w:val="24"/>
        </w:rPr>
        <w:t xml:space="preserve">Florbetapir processing methods [PDF file]. Berkeley, CA: </w:t>
      </w:r>
    </w:p>
    <w:p w14:paraId="21A4A642"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Author. Retrieved from https://adni.bitbucket.io/reference/docs/UCBERKELEYAV</w:t>
      </w:r>
    </w:p>
    <w:p w14:paraId="448AEE4B" w14:textId="60BAD93C"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45/ADNI_AV45_Methods_JagustLab_06.25.15.pdf </w:t>
      </w:r>
    </w:p>
    <w:p w14:paraId="000C6B2B" w14:textId="77777777" w:rsidR="000D2ACE" w:rsidRPr="00734A7D" w:rsidRDefault="000D2ACE" w:rsidP="000D2ACE">
      <w:pPr>
        <w:spacing w:before="240" w:line="480" w:lineRule="auto"/>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Lin KJ, Hsiao IT, Hsu JL, Huang CC, Huang KL, Hsieh CJ, Wey SP, Zen TC, 2016. Imaging </w:t>
      </w:r>
    </w:p>
    <w:p w14:paraId="77781195"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characteristics of dual-phase 18F-florbetapir (AV-45/amyloid) PET for the </w:t>
      </w:r>
    </w:p>
    <w:p w14:paraId="54476D7A"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lastRenderedPageBreak/>
        <w:t xml:space="preserve">concomitant detection of perfusion deficits and beta-amyloid deposition in </w:t>
      </w:r>
    </w:p>
    <w:p w14:paraId="533FBB9C"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Alzheimer’s disease and mild cognitive impairment. Eur J Nucl Med Mol Imaging </w:t>
      </w:r>
    </w:p>
    <w:p w14:paraId="7B2CC848" w14:textId="46494069"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43(7), 1304-1314. Doi: </w:t>
      </w:r>
      <w:hyperlink r:id="rId11" w:tgtFrame="_blank" w:history="1">
        <w:r w:rsidRPr="00734A7D">
          <w:rPr>
            <w:rFonts w:ascii="Times New Roman" w:hAnsi="Times New Roman" w:cs="Times New Roman"/>
            <w:sz w:val="24"/>
            <w:szCs w:val="24"/>
            <w:lang w:val="en-GB"/>
          </w:rPr>
          <w:t>10.1007/s00259-016-3359-8</w:t>
        </w:r>
      </w:hyperlink>
    </w:p>
    <w:p w14:paraId="4EAE9417" w14:textId="77777777" w:rsidR="000D2ACE" w:rsidRPr="00734A7D" w:rsidRDefault="000D2ACE" w:rsidP="000D2ACE">
      <w:pPr>
        <w:spacing w:before="240" w:line="480" w:lineRule="auto"/>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 xml:space="preserve">Mattsson N, Palmqvist S, Stomrud E, Vogel J, Oskar Hansson O, 2019. Staging β-amyloid </w:t>
      </w:r>
    </w:p>
    <w:p w14:paraId="39EC4E1D" w14:textId="77777777" w:rsidR="003161E5" w:rsidRPr="00734A7D" w:rsidRDefault="000D2ACE" w:rsidP="007C7BF0">
      <w:pPr>
        <w:spacing w:before="240" w:line="480" w:lineRule="auto"/>
        <w:ind w:firstLine="720"/>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pathology with amyloid positron emission tomography. JAMA Neurol. 76(11)</w:t>
      </w:r>
      <w:r w:rsidR="007C7BF0" w:rsidRPr="00734A7D">
        <w:rPr>
          <w:rStyle w:val="Hyperlink"/>
          <w:rFonts w:ascii="Times New Roman" w:hAnsi="Times New Roman" w:cs="Times New Roman"/>
          <w:color w:val="auto"/>
          <w:sz w:val="24"/>
          <w:szCs w:val="24"/>
          <w:u w:val="none"/>
          <w:lang w:val="en-GB"/>
        </w:rPr>
        <w:t xml:space="preserve">, </w:t>
      </w:r>
      <w:r w:rsidRPr="00734A7D">
        <w:rPr>
          <w:rStyle w:val="Hyperlink"/>
          <w:rFonts w:ascii="Times New Roman" w:hAnsi="Times New Roman" w:cs="Times New Roman"/>
          <w:color w:val="auto"/>
          <w:sz w:val="24"/>
          <w:szCs w:val="24"/>
          <w:u w:val="none"/>
          <w:lang w:val="en-GB"/>
        </w:rPr>
        <w:t>1319-</w:t>
      </w:r>
    </w:p>
    <w:p w14:paraId="529663B9" w14:textId="798A9A79" w:rsidR="007C7BF0" w:rsidRPr="00734A7D" w:rsidRDefault="000D2ACE" w:rsidP="007C7BF0">
      <w:pPr>
        <w:spacing w:before="240" w:line="480" w:lineRule="auto"/>
        <w:ind w:firstLine="720"/>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1329. Doi: 10.1001/jamaneurol.2019.2214</w:t>
      </w:r>
    </w:p>
    <w:p w14:paraId="76325373" w14:textId="77777777" w:rsidR="00104DD2" w:rsidRPr="00734A7D" w:rsidRDefault="00104DD2" w:rsidP="00104DD2">
      <w:pPr>
        <w:spacing w:line="480" w:lineRule="auto"/>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 xml:space="preserve">McKhann GM, Knopman DS, Chertkow H, Hyman BT, Jack Jr CR, Kawas CH, Klink WE, </w:t>
      </w:r>
    </w:p>
    <w:p w14:paraId="506A0F02" w14:textId="77777777" w:rsidR="00104DD2" w:rsidRPr="00734A7D" w:rsidRDefault="00104DD2" w:rsidP="00104DD2">
      <w:pPr>
        <w:spacing w:line="480" w:lineRule="auto"/>
        <w:ind w:firstLine="720"/>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 xml:space="preserve">Koroshetz WJ, Manly JJ, Mayeux R, Mohs RC, Morris JC, Rossor MN, Scheltens P, </w:t>
      </w:r>
    </w:p>
    <w:p w14:paraId="020BD6B1" w14:textId="77777777" w:rsidR="00104DD2" w:rsidRPr="00734A7D" w:rsidRDefault="00104DD2" w:rsidP="00104DD2">
      <w:pPr>
        <w:spacing w:line="480" w:lineRule="auto"/>
        <w:ind w:firstLine="720"/>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lang w:val="en-GB"/>
        </w:rPr>
        <w:t xml:space="preserve">Carrillo MC, Thies B, Weintraub S, Phelps CH, 2011. </w:t>
      </w:r>
      <w:r w:rsidRPr="00734A7D">
        <w:rPr>
          <w:rStyle w:val="Hyperlink"/>
          <w:rFonts w:ascii="Times New Roman" w:hAnsi="Times New Roman" w:cs="Times New Roman"/>
          <w:color w:val="auto"/>
          <w:sz w:val="24"/>
          <w:szCs w:val="24"/>
          <w:u w:val="none"/>
        </w:rPr>
        <w:t xml:space="preserve">The diagnosis of dementia due </w:t>
      </w:r>
    </w:p>
    <w:p w14:paraId="4B82D1FA" w14:textId="372F1177" w:rsidR="00104DD2" w:rsidRPr="00734A7D" w:rsidRDefault="00104DD2" w:rsidP="00104DD2">
      <w:pPr>
        <w:spacing w:line="480" w:lineRule="auto"/>
        <w:ind w:firstLine="720"/>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to Alzheimer’s disease: </w:t>
      </w:r>
      <w:r w:rsidR="00183AB9" w:rsidRPr="00734A7D">
        <w:rPr>
          <w:rStyle w:val="Hyperlink"/>
          <w:rFonts w:ascii="Times New Roman" w:hAnsi="Times New Roman" w:cs="Times New Roman"/>
          <w:color w:val="auto"/>
          <w:sz w:val="24"/>
          <w:szCs w:val="24"/>
          <w:u w:val="none"/>
        </w:rPr>
        <w:t>R</w:t>
      </w:r>
      <w:r w:rsidRPr="00734A7D">
        <w:rPr>
          <w:rStyle w:val="Hyperlink"/>
          <w:rFonts w:ascii="Times New Roman" w:hAnsi="Times New Roman" w:cs="Times New Roman"/>
          <w:color w:val="auto"/>
          <w:sz w:val="24"/>
          <w:szCs w:val="24"/>
          <w:u w:val="none"/>
        </w:rPr>
        <w:t>ecommendations from the National Institute on Aging-</w:t>
      </w:r>
    </w:p>
    <w:p w14:paraId="437DF4FA" w14:textId="77777777" w:rsidR="00104DD2" w:rsidRPr="00734A7D" w:rsidRDefault="00104DD2" w:rsidP="00104DD2">
      <w:pPr>
        <w:spacing w:line="480" w:lineRule="auto"/>
        <w:ind w:firstLine="720"/>
        <w:rPr>
          <w:rStyle w:val="Hyperlink"/>
          <w:rFonts w:ascii="Times New Roman" w:hAnsi="Times New Roman" w:cs="Times New Roman"/>
          <w:color w:val="auto"/>
          <w:sz w:val="24"/>
          <w:szCs w:val="24"/>
          <w:u w:val="none"/>
        </w:rPr>
      </w:pPr>
      <w:r w:rsidRPr="00734A7D">
        <w:rPr>
          <w:rStyle w:val="Hyperlink"/>
          <w:rFonts w:ascii="Times New Roman" w:hAnsi="Times New Roman" w:cs="Times New Roman"/>
          <w:color w:val="auto"/>
          <w:sz w:val="24"/>
          <w:szCs w:val="24"/>
          <w:u w:val="none"/>
        </w:rPr>
        <w:t xml:space="preserve">Alzheimer’s Association workgroups on diagnostic guidelines for Alzheimer’s </w:t>
      </w:r>
    </w:p>
    <w:p w14:paraId="555502ED" w14:textId="357681D0" w:rsidR="00104DD2" w:rsidRPr="00734A7D" w:rsidRDefault="00104DD2" w:rsidP="00104DD2">
      <w:pPr>
        <w:spacing w:line="480" w:lineRule="auto"/>
        <w:ind w:firstLine="720"/>
        <w:rPr>
          <w:rStyle w:val="Hyperlink"/>
          <w:rFonts w:ascii="Times New Roman" w:hAnsi="Times New Roman" w:cs="Times New Roman"/>
          <w:color w:val="auto"/>
          <w:sz w:val="24"/>
          <w:szCs w:val="24"/>
          <w:u w:val="none"/>
          <w:lang w:val="de-DE"/>
        </w:rPr>
      </w:pPr>
      <w:r w:rsidRPr="00734A7D">
        <w:rPr>
          <w:rStyle w:val="Hyperlink"/>
          <w:rFonts w:ascii="Times New Roman" w:hAnsi="Times New Roman" w:cs="Times New Roman"/>
          <w:color w:val="auto"/>
          <w:sz w:val="24"/>
          <w:szCs w:val="24"/>
          <w:u w:val="none"/>
          <w:lang w:val="de-DE"/>
        </w:rPr>
        <w:t>disease. Alzheimers Dement</w:t>
      </w:r>
      <w:r w:rsidR="00183AB9" w:rsidRPr="00734A7D">
        <w:rPr>
          <w:rStyle w:val="Hyperlink"/>
          <w:rFonts w:ascii="Times New Roman" w:hAnsi="Times New Roman" w:cs="Times New Roman"/>
          <w:color w:val="auto"/>
          <w:sz w:val="24"/>
          <w:szCs w:val="24"/>
          <w:u w:val="none"/>
          <w:lang w:val="de-DE"/>
        </w:rPr>
        <w:t>.</w:t>
      </w:r>
      <w:r w:rsidRPr="00734A7D">
        <w:rPr>
          <w:rStyle w:val="Hyperlink"/>
          <w:rFonts w:ascii="Times New Roman" w:hAnsi="Times New Roman" w:cs="Times New Roman"/>
          <w:color w:val="auto"/>
          <w:sz w:val="24"/>
          <w:szCs w:val="24"/>
          <w:u w:val="none"/>
          <w:lang w:val="de-DE"/>
        </w:rPr>
        <w:t xml:space="preserve"> 7, 263-269. Doi: 10.1016/j.jalz.2011.03.005</w:t>
      </w:r>
    </w:p>
    <w:p w14:paraId="302013F1" w14:textId="77777777" w:rsidR="000D2ACE" w:rsidRPr="00734A7D" w:rsidRDefault="000D2ACE" w:rsidP="000D2ACE">
      <w:pPr>
        <w:spacing w:before="240" w:line="480" w:lineRule="auto"/>
        <w:rPr>
          <w:rFonts w:ascii="Times New Roman" w:hAnsi="Times New Roman" w:cs="Times New Roman"/>
          <w:sz w:val="24"/>
          <w:szCs w:val="24"/>
          <w:lang w:val="de-DE"/>
        </w:rPr>
      </w:pPr>
      <w:r w:rsidRPr="00734A7D">
        <w:rPr>
          <w:rFonts w:ascii="Times New Roman" w:hAnsi="Times New Roman" w:cs="Times New Roman"/>
          <w:sz w:val="24"/>
          <w:szCs w:val="24"/>
          <w:lang w:val="de-DE"/>
        </w:rPr>
        <w:t xml:space="preserve">Morris JC, Roe CM, Xiong C, Fagan AM, Goate AM, Holtzman DM, Mintun MA, 2010. </w:t>
      </w:r>
    </w:p>
    <w:p w14:paraId="59A9CF41"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APOE predicts amyloid-beta but not tau Alzheimer pathology in cognitively normal </w:t>
      </w:r>
    </w:p>
    <w:p w14:paraId="51E0977A" w14:textId="02706F7B"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rPr>
      </w:pPr>
      <w:r w:rsidRPr="00734A7D">
        <w:rPr>
          <w:rFonts w:ascii="Times New Roman" w:hAnsi="Times New Roman" w:cs="Times New Roman"/>
          <w:sz w:val="24"/>
          <w:szCs w:val="24"/>
        </w:rPr>
        <w:t xml:space="preserve">aging. Ann Neurol. 67(1), 122-131. Doi: </w:t>
      </w:r>
      <w:hyperlink r:id="rId12" w:tgtFrame="_blank" w:history="1">
        <w:r w:rsidRPr="00734A7D">
          <w:rPr>
            <w:rFonts w:ascii="Times New Roman" w:hAnsi="Times New Roman" w:cs="Times New Roman"/>
            <w:sz w:val="24"/>
            <w:szCs w:val="24"/>
          </w:rPr>
          <w:t>10.1002/ana.21843</w:t>
        </w:r>
      </w:hyperlink>
    </w:p>
    <w:p w14:paraId="622323A3" w14:textId="77777777" w:rsidR="000D2ACE" w:rsidRPr="00734A7D" w:rsidRDefault="000D2ACE" w:rsidP="000D2ACE">
      <w:pPr>
        <w:spacing w:before="240" w:line="480" w:lineRule="auto"/>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 xml:space="preserve">Oulhaj A, Wilcock GK, Smith D, de Jager CA, 2009. Predicting the time of conversion to </w:t>
      </w:r>
    </w:p>
    <w:p w14:paraId="791B0937" w14:textId="77777777" w:rsidR="000D2ACE" w:rsidRPr="00734A7D" w:rsidRDefault="000D2ACE" w:rsidP="000D2ACE">
      <w:pPr>
        <w:spacing w:before="240" w:line="480" w:lineRule="auto"/>
        <w:ind w:firstLine="720"/>
        <w:rPr>
          <w:rStyle w:val="Hyperlink"/>
          <w:rFonts w:ascii="Times New Roman" w:hAnsi="Times New Roman" w:cs="Times New Roman"/>
          <w:color w:val="auto"/>
          <w:sz w:val="24"/>
          <w:szCs w:val="24"/>
          <w:u w:val="none"/>
          <w:lang w:val="en-GB"/>
        </w:rPr>
      </w:pPr>
      <w:r w:rsidRPr="00734A7D">
        <w:rPr>
          <w:rStyle w:val="Hyperlink"/>
          <w:rFonts w:ascii="Times New Roman" w:hAnsi="Times New Roman" w:cs="Times New Roman"/>
          <w:color w:val="auto"/>
          <w:sz w:val="24"/>
          <w:szCs w:val="24"/>
          <w:u w:val="none"/>
          <w:lang w:val="en-GB"/>
        </w:rPr>
        <w:t>MCI in the elderly: Role of verbal expression and learning. Neurology 73(18), 1436-</w:t>
      </w:r>
    </w:p>
    <w:p w14:paraId="369A8D15" w14:textId="5B133F00" w:rsidR="000D2ACE" w:rsidRPr="00734A7D" w:rsidRDefault="000D2ACE" w:rsidP="000D2ACE">
      <w:pPr>
        <w:spacing w:before="240" w:line="480" w:lineRule="auto"/>
        <w:ind w:firstLine="720"/>
        <w:rPr>
          <w:rFonts w:ascii="Times New Roman" w:hAnsi="Times New Roman" w:cs="Times New Roman"/>
          <w:sz w:val="24"/>
          <w:szCs w:val="24"/>
          <w:shd w:val="clear" w:color="auto" w:fill="FFFFFF"/>
          <w:lang w:val="en-GB"/>
        </w:rPr>
      </w:pPr>
      <w:r w:rsidRPr="00734A7D">
        <w:rPr>
          <w:rStyle w:val="Hyperlink"/>
          <w:rFonts w:ascii="Times New Roman" w:hAnsi="Times New Roman" w:cs="Times New Roman"/>
          <w:color w:val="auto"/>
          <w:sz w:val="24"/>
          <w:szCs w:val="24"/>
          <w:u w:val="none"/>
          <w:lang w:val="en-GB"/>
        </w:rPr>
        <w:t xml:space="preserve">1442. Doi: </w:t>
      </w:r>
      <w:r w:rsidRPr="00734A7D">
        <w:rPr>
          <w:rFonts w:ascii="Times New Roman" w:hAnsi="Times New Roman" w:cs="Times New Roman"/>
          <w:sz w:val="24"/>
          <w:szCs w:val="24"/>
          <w:shd w:val="clear" w:color="auto" w:fill="FFFFFF"/>
          <w:lang w:val="en-GB"/>
        </w:rPr>
        <w:t>10.1212/WNL.0b013e3181c0665f</w:t>
      </w:r>
    </w:p>
    <w:p w14:paraId="143C6146" w14:textId="77777777" w:rsidR="000D2ACE" w:rsidRPr="00734A7D" w:rsidRDefault="000D2ACE" w:rsidP="000D2ACE">
      <w:pPr>
        <w:spacing w:before="240" w:line="480" w:lineRule="auto"/>
        <w:rPr>
          <w:rFonts w:ascii="Times New Roman" w:hAnsi="Times New Roman" w:cs="Times New Roman"/>
          <w:sz w:val="24"/>
          <w:szCs w:val="24"/>
          <w:lang w:val="en-GB"/>
        </w:rPr>
      </w:pPr>
      <w:r w:rsidRPr="00734A7D">
        <w:rPr>
          <w:rFonts w:ascii="Times New Roman" w:hAnsi="Times New Roman" w:cs="Times New Roman"/>
          <w:sz w:val="24"/>
          <w:szCs w:val="24"/>
          <w:lang w:val="en-GB"/>
        </w:rPr>
        <w:lastRenderedPageBreak/>
        <w:t xml:space="preserve">Patterson BW, Elbert D, Mawuenyega KG, Kasten T, Ovod V, Ma S, Xiong C, Chott, R, </w:t>
      </w:r>
    </w:p>
    <w:p w14:paraId="6B6C7C4A"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Yarasheski K, Sigurdson W, Zhang L, Goate A, Benzinger T, Morris JC, Holtzmann </w:t>
      </w:r>
    </w:p>
    <w:p w14:paraId="3BE91620"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D, Bateman RJ, 2015. Age and amyloid effects on human CNS amyloid-beta kinetics. </w:t>
      </w:r>
    </w:p>
    <w:p w14:paraId="0C64DB43" w14:textId="14A287CF"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Ann Neurol. 78(3), 439-453. Doi: </w:t>
      </w:r>
      <w:r w:rsidRPr="00734A7D">
        <w:rPr>
          <w:rFonts w:ascii="Times New Roman" w:hAnsi="Times New Roman" w:cs="Times New Roman"/>
          <w:sz w:val="24"/>
          <w:szCs w:val="24"/>
          <w:shd w:val="clear" w:color="auto" w:fill="FFFFFF"/>
        </w:rPr>
        <w:t>10.1002/ana.24454</w:t>
      </w:r>
    </w:p>
    <w:p w14:paraId="14FF754F" w14:textId="77777777" w:rsidR="00B679DC" w:rsidRPr="00734A7D" w:rsidRDefault="00B679DC" w:rsidP="000D2ACE">
      <w:pPr>
        <w:spacing w:before="240" w:line="480" w:lineRule="auto"/>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Rowe CC, Ellis KA, Rimajova M, Bourgeat P, Pike KE, Jones G, Fripp J, Tochon-Danguy H, </w:t>
      </w:r>
    </w:p>
    <w:p w14:paraId="7C3C032D" w14:textId="77777777" w:rsidR="00B679DC" w:rsidRPr="00734A7D" w:rsidRDefault="00B679DC"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Morandeau L, O'Keefe G, Price R, Raniga P, Robins P, Acosta O, Lenzo N, Szoeke </w:t>
      </w:r>
    </w:p>
    <w:p w14:paraId="7361D037" w14:textId="0819ADD1" w:rsidR="00B679DC" w:rsidRPr="00734A7D" w:rsidRDefault="00B679DC"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C, Salvado O, Head R, Martins R, Masters CL, Ames D, Villemagne VL, Amyloid </w:t>
      </w:r>
    </w:p>
    <w:p w14:paraId="148FF31A" w14:textId="77777777" w:rsidR="00B679DC" w:rsidRPr="00734A7D" w:rsidRDefault="00B679DC"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imaging results from the Australian Imaging, Biomarkers and Lifestyle (AIBL) study </w:t>
      </w:r>
    </w:p>
    <w:p w14:paraId="43F16414" w14:textId="77777777" w:rsidR="00B679DC" w:rsidRPr="00734A7D" w:rsidRDefault="00B679DC" w:rsidP="005F1EF2">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of aging, 2010. </w:t>
      </w:r>
      <w:r w:rsidR="00712006" w:rsidRPr="00734A7D">
        <w:rPr>
          <w:rFonts w:ascii="Times New Roman" w:hAnsi="Times New Roman" w:cs="Times New Roman"/>
          <w:sz w:val="24"/>
          <w:szCs w:val="24"/>
        </w:rPr>
        <w:t>Neurobiol Aging</w:t>
      </w:r>
      <w:r w:rsidRPr="00734A7D">
        <w:rPr>
          <w:rFonts w:ascii="Times New Roman" w:hAnsi="Times New Roman" w:cs="Times New Roman"/>
          <w:sz w:val="24"/>
          <w:szCs w:val="24"/>
        </w:rPr>
        <w:t xml:space="preserve"> </w:t>
      </w:r>
      <w:r w:rsidR="00712006" w:rsidRPr="00734A7D">
        <w:rPr>
          <w:rFonts w:ascii="Times New Roman" w:hAnsi="Times New Roman" w:cs="Times New Roman"/>
          <w:sz w:val="24"/>
          <w:szCs w:val="24"/>
        </w:rPr>
        <w:t>31(8)</w:t>
      </w:r>
      <w:r w:rsidRPr="00734A7D">
        <w:rPr>
          <w:rFonts w:ascii="Times New Roman" w:hAnsi="Times New Roman" w:cs="Times New Roman"/>
          <w:sz w:val="24"/>
          <w:szCs w:val="24"/>
        </w:rPr>
        <w:t>,</w:t>
      </w:r>
      <w:r w:rsidR="00712006" w:rsidRPr="00734A7D">
        <w:rPr>
          <w:rFonts w:ascii="Times New Roman" w:hAnsi="Times New Roman" w:cs="Times New Roman"/>
          <w:sz w:val="24"/>
          <w:szCs w:val="24"/>
        </w:rPr>
        <w:t xml:space="preserve"> 1275-1283. </w:t>
      </w:r>
      <w:r w:rsidRPr="00734A7D">
        <w:rPr>
          <w:rFonts w:ascii="Times New Roman" w:hAnsi="Times New Roman" w:cs="Times New Roman"/>
          <w:sz w:val="24"/>
          <w:szCs w:val="24"/>
        </w:rPr>
        <w:t xml:space="preserve">Doi: </w:t>
      </w:r>
    </w:p>
    <w:p w14:paraId="6F7B7674" w14:textId="5E6ADC50" w:rsidR="00367B41" w:rsidRPr="00734A7D" w:rsidRDefault="00712006" w:rsidP="005F1EF2">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10.1016/j.neurobiolaging.2010.04.007</w:t>
      </w:r>
    </w:p>
    <w:p w14:paraId="4D0F8C4E" w14:textId="77777777" w:rsidR="000D2ACE" w:rsidRPr="00734A7D" w:rsidRDefault="000D2ACE" w:rsidP="005F1EF2">
      <w:pPr>
        <w:pStyle w:val="c-author-listitem"/>
        <w:spacing w:before="240" w:beforeAutospacing="0" w:after="160" w:afterAutospacing="0" w:line="480" w:lineRule="auto"/>
        <w:rPr>
          <w:lang w:val="en-US"/>
        </w:rPr>
      </w:pPr>
      <w:r w:rsidRPr="00734A7D">
        <w:rPr>
          <w:lang w:val="en-US"/>
        </w:rPr>
        <w:t xml:space="preserve">Saint-Aubert L, Barbeau EJ, Péran P, Nemmi F, Vervueren C, Mirabel H, Payoux P, Hitzel </w:t>
      </w:r>
    </w:p>
    <w:p w14:paraId="68866F8A" w14:textId="77777777" w:rsidR="000D2ACE" w:rsidRPr="00734A7D" w:rsidRDefault="000D2ACE" w:rsidP="005F1EF2">
      <w:pPr>
        <w:pStyle w:val="c-author-listitem"/>
        <w:spacing w:before="240" w:beforeAutospacing="0" w:after="160" w:afterAutospacing="0" w:line="480" w:lineRule="auto"/>
        <w:ind w:firstLine="720"/>
      </w:pPr>
      <w:r w:rsidRPr="00734A7D">
        <w:t xml:space="preserve">A, Bonneville F, Gramada R, Tafani M, Vincent C, Puel M, Dechaumont S, Chollet </w:t>
      </w:r>
    </w:p>
    <w:p w14:paraId="0871EDDC" w14:textId="77777777" w:rsidR="000D2ACE" w:rsidRPr="00734A7D" w:rsidRDefault="000D2ACE" w:rsidP="005F1EF2">
      <w:pPr>
        <w:pStyle w:val="c-author-listitem"/>
        <w:spacing w:before="240" w:beforeAutospacing="0" w:after="160" w:afterAutospacing="0" w:line="480" w:lineRule="auto"/>
        <w:ind w:firstLine="720"/>
      </w:pPr>
      <w:r w:rsidRPr="00734A7D">
        <w:t xml:space="preserve">F, PAriente J, 2013. Cortical florbetapir-PET amyloid load in prodromal Alzheimer’s </w:t>
      </w:r>
    </w:p>
    <w:p w14:paraId="4492C154" w14:textId="488A6023" w:rsidR="000D2ACE" w:rsidRPr="00734A7D" w:rsidRDefault="000D2ACE" w:rsidP="005F1EF2">
      <w:pPr>
        <w:pStyle w:val="c-author-listitem"/>
        <w:spacing w:before="240" w:beforeAutospacing="0" w:after="160" w:afterAutospacing="0" w:line="480" w:lineRule="auto"/>
        <w:ind w:firstLine="720"/>
      </w:pPr>
      <w:r w:rsidRPr="00734A7D">
        <w:t xml:space="preserve">disease patients. EJNMMI Res. 3, 43. Doi: </w:t>
      </w:r>
      <w:hyperlink r:id="rId13" w:tgtFrame="_blank" w:history="1">
        <w:r w:rsidRPr="00734A7D">
          <w:t>10.1186/2191-219X-3-43</w:t>
        </w:r>
      </w:hyperlink>
    </w:p>
    <w:p w14:paraId="5D03DA2E" w14:textId="77777777" w:rsidR="000D2ACE" w:rsidRPr="00734A7D" w:rsidRDefault="000D2ACE" w:rsidP="005F1EF2">
      <w:pPr>
        <w:spacing w:before="240" w:line="480" w:lineRule="auto"/>
        <w:rPr>
          <w:rFonts w:ascii="Times New Roman" w:hAnsi="Times New Roman" w:cs="Times New Roman"/>
          <w:sz w:val="24"/>
          <w:szCs w:val="24"/>
        </w:rPr>
      </w:pPr>
      <w:r w:rsidRPr="00734A7D">
        <w:rPr>
          <w:rFonts w:ascii="Times New Roman" w:hAnsi="Times New Roman" w:cs="Times New Roman"/>
          <w:sz w:val="24"/>
          <w:szCs w:val="24"/>
        </w:rPr>
        <w:t xml:space="preserve">Sakr FA, Grothe MJ, Cavedo E, Jelistratova I, Habert MO, Dyrba M, Gonzalez-Escamilla G, </w:t>
      </w:r>
    </w:p>
    <w:p w14:paraId="77D5FFFB"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Bertin H, Locatelli M, Lehericy S, Teipl S, Dubois B, Hampel H, for the INSIGHT-</w:t>
      </w:r>
    </w:p>
    <w:p w14:paraId="67CA4840"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preAD study group &amp; the Alzheimer Precision Medicine Initiative (APMI), 2019. </w:t>
      </w:r>
    </w:p>
    <w:p w14:paraId="5642BA0E"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Applicability of in vivo staging of regional amyloid burden in a cognitively normal </w:t>
      </w:r>
    </w:p>
    <w:p w14:paraId="58E8A01F" w14:textId="77777777"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lastRenderedPageBreak/>
        <w:t xml:space="preserve">cohort with subjective memory complaints: The INSIGHT-preAD study. Alzheimer’s </w:t>
      </w:r>
    </w:p>
    <w:p w14:paraId="7F96F361" w14:textId="14AB8F02" w:rsidR="000D2ACE" w:rsidRPr="00734A7D" w:rsidRDefault="000D2ACE" w:rsidP="000D2ACE">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Res Ther. 11, 15. Doi: 10.1186/s13195-019-0466-3</w:t>
      </w:r>
    </w:p>
    <w:p w14:paraId="052C88FD" w14:textId="77777777" w:rsidR="001A17B1" w:rsidRPr="00734A7D" w:rsidRDefault="001A17B1" w:rsidP="001A17B1">
      <w:pPr>
        <w:spacing w:before="240" w:line="480" w:lineRule="auto"/>
        <w:rPr>
          <w:rFonts w:ascii="Times New Roman" w:hAnsi="Times New Roman" w:cs="Times New Roman"/>
          <w:sz w:val="24"/>
          <w:szCs w:val="24"/>
        </w:rPr>
      </w:pPr>
      <w:r w:rsidRPr="00734A7D">
        <w:rPr>
          <w:rFonts w:ascii="Times New Roman" w:hAnsi="Times New Roman" w:cs="Times New Roman"/>
          <w:sz w:val="24"/>
          <w:szCs w:val="24"/>
        </w:rPr>
        <w:t xml:space="preserve">Sperling RA, Aisen PS, Beckett LA, Bennett DA, Craft S, Fagan AM, Iwatsubo T, Jack Jr </w:t>
      </w:r>
    </w:p>
    <w:p w14:paraId="65B5F4F5" w14:textId="77777777" w:rsidR="001A17B1" w:rsidRPr="00734A7D" w:rsidRDefault="001A17B1" w:rsidP="001A17B1">
      <w:pPr>
        <w:spacing w:before="240" w:line="480" w:lineRule="auto"/>
        <w:ind w:firstLine="720"/>
        <w:rPr>
          <w:rFonts w:ascii="Times New Roman" w:hAnsi="Times New Roman" w:cs="Times New Roman"/>
          <w:sz w:val="24"/>
          <w:szCs w:val="24"/>
          <w:lang w:val="de-DE"/>
        </w:rPr>
      </w:pPr>
      <w:r w:rsidRPr="00734A7D">
        <w:rPr>
          <w:rFonts w:ascii="Times New Roman" w:hAnsi="Times New Roman" w:cs="Times New Roman"/>
          <w:sz w:val="24"/>
          <w:szCs w:val="24"/>
          <w:lang w:val="de-DE"/>
        </w:rPr>
        <w:t xml:space="preserve">CR, Kaye J, Montine TJ, Park DC, Reiman EM, Rowe CC, Siemers E, Stern Y, Yaffe </w:t>
      </w:r>
    </w:p>
    <w:p w14:paraId="17831221" w14:textId="77777777" w:rsidR="001A17B1" w:rsidRPr="00734A7D" w:rsidRDefault="001A17B1" w:rsidP="001A17B1">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K, Carrillo MC, Thies B, Morrison-Bohorad M, Wagster MV, Phelps CH, 2011. </w:t>
      </w:r>
    </w:p>
    <w:p w14:paraId="3B746926" w14:textId="77777777" w:rsidR="001A17B1" w:rsidRPr="00734A7D" w:rsidRDefault="001A17B1" w:rsidP="001A17B1">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Towards defining the preclinical stages of Alzheimer’s disease: Recommendations </w:t>
      </w:r>
    </w:p>
    <w:p w14:paraId="25813D5F" w14:textId="77777777" w:rsidR="001A17B1" w:rsidRPr="00734A7D" w:rsidRDefault="001A17B1" w:rsidP="001A17B1">
      <w:pPr>
        <w:spacing w:before="240" w:line="480" w:lineRule="auto"/>
        <w:ind w:firstLine="720"/>
        <w:rPr>
          <w:rFonts w:ascii="Times New Roman" w:hAnsi="Times New Roman" w:cs="Times New Roman"/>
          <w:sz w:val="24"/>
          <w:szCs w:val="24"/>
        </w:rPr>
      </w:pPr>
      <w:r w:rsidRPr="00734A7D">
        <w:rPr>
          <w:rFonts w:ascii="Times New Roman" w:hAnsi="Times New Roman" w:cs="Times New Roman"/>
          <w:sz w:val="24"/>
          <w:szCs w:val="24"/>
        </w:rPr>
        <w:t xml:space="preserve">from the National Institute on Aging-Alzheimer’s Association workgroups on </w:t>
      </w:r>
    </w:p>
    <w:p w14:paraId="531FB1C5" w14:textId="0F7C7A8F" w:rsidR="001A17B1" w:rsidRPr="00734A7D" w:rsidRDefault="001A17B1" w:rsidP="001A17B1">
      <w:pPr>
        <w:spacing w:before="240" w:line="480" w:lineRule="auto"/>
        <w:ind w:firstLine="720"/>
        <w:rPr>
          <w:rFonts w:ascii="Times New Roman" w:hAnsi="Times New Roman" w:cs="Times New Roman"/>
          <w:sz w:val="24"/>
          <w:szCs w:val="24"/>
          <w:lang w:val="de-DE"/>
        </w:rPr>
      </w:pPr>
      <w:r w:rsidRPr="00734A7D">
        <w:rPr>
          <w:rFonts w:ascii="Times New Roman" w:hAnsi="Times New Roman" w:cs="Times New Roman"/>
          <w:sz w:val="24"/>
          <w:szCs w:val="24"/>
        </w:rPr>
        <w:t xml:space="preserve">diagnostic guidelines for Alzheimer’s disease. </w:t>
      </w:r>
      <w:r w:rsidRPr="00734A7D">
        <w:rPr>
          <w:rFonts w:ascii="Times New Roman" w:hAnsi="Times New Roman" w:cs="Times New Roman"/>
          <w:sz w:val="24"/>
          <w:szCs w:val="24"/>
          <w:lang w:val="de-DE"/>
        </w:rPr>
        <w:t>Alzheimers Dement</w:t>
      </w:r>
      <w:r w:rsidR="00183AB9" w:rsidRPr="00734A7D">
        <w:rPr>
          <w:rFonts w:ascii="Times New Roman" w:hAnsi="Times New Roman" w:cs="Times New Roman"/>
          <w:sz w:val="24"/>
          <w:szCs w:val="24"/>
          <w:lang w:val="de-DE"/>
        </w:rPr>
        <w:t>.</w:t>
      </w:r>
      <w:r w:rsidRPr="00734A7D">
        <w:rPr>
          <w:rFonts w:ascii="Times New Roman" w:hAnsi="Times New Roman" w:cs="Times New Roman"/>
          <w:sz w:val="24"/>
          <w:szCs w:val="24"/>
          <w:lang w:val="de-DE"/>
        </w:rPr>
        <w:t xml:space="preserve"> 7(3), 280-292. </w:t>
      </w:r>
    </w:p>
    <w:p w14:paraId="149A0252" w14:textId="6A1C1A09" w:rsidR="001A17B1" w:rsidRPr="00734A7D" w:rsidRDefault="001A17B1" w:rsidP="001A17B1">
      <w:pPr>
        <w:spacing w:before="240" w:line="480" w:lineRule="auto"/>
        <w:ind w:firstLine="720"/>
        <w:rPr>
          <w:rFonts w:ascii="Times New Roman" w:hAnsi="Times New Roman" w:cs="Times New Roman"/>
          <w:sz w:val="24"/>
          <w:szCs w:val="24"/>
          <w:lang w:val="de-DE"/>
        </w:rPr>
      </w:pPr>
      <w:r w:rsidRPr="00734A7D">
        <w:rPr>
          <w:rFonts w:ascii="Times New Roman" w:hAnsi="Times New Roman" w:cs="Times New Roman"/>
          <w:sz w:val="24"/>
          <w:szCs w:val="24"/>
          <w:lang w:val="de-DE"/>
        </w:rPr>
        <w:t>Doi: 10.1016/j.jalz.2011.03.003</w:t>
      </w:r>
    </w:p>
    <w:p w14:paraId="698DAF8E" w14:textId="77777777" w:rsidR="000D2ACE" w:rsidRPr="00734A7D" w:rsidRDefault="000D2ACE" w:rsidP="000D2ACE">
      <w:pPr>
        <w:spacing w:before="240" w:line="480" w:lineRule="auto"/>
        <w:rPr>
          <w:rFonts w:ascii="Times New Roman" w:hAnsi="Times New Roman" w:cs="Times New Roman"/>
          <w:sz w:val="24"/>
          <w:szCs w:val="24"/>
          <w:lang w:val="de-DE"/>
        </w:rPr>
      </w:pPr>
      <w:r w:rsidRPr="00734A7D">
        <w:rPr>
          <w:rFonts w:ascii="Times New Roman" w:hAnsi="Times New Roman" w:cs="Times New Roman"/>
          <w:sz w:val="24"/>
          <w:szCs w:val="24"/>
          <w:lang w:val="de-DE"/>
        </w:rPr>
        <w:t>Stern Y, Brandt J, Albert M, Jacobs DM, Liu X, Bell K, Marder K, Sano M, Albert S, Del-</w:t>
      </w:r>
    </w:p>
    <w:p w14:paraId="7B94D0D2"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Castillo Casternada C, Bylsma F, Tycko B, Mayeux R, 1997. The absence of an </w:t>
      </w:r>
    </w:p>
    <w:p w14:paraId="171BFA42"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apolipoprotein epsilon4 allele is associated with a more aggressive form of </w:t>
      </w:r>
    </w:p>
    <w:p w14:paraId="0C95CAB1" w14:textId="20DE8673"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Alzheimer’s disease. Ann Neurol. 41, 615-620. Doi: 10.1002/ana.410410510</w:t>
      </w:r>
    </w:p>
    <w:p w14:paraId="7F95A413" w14:textId="77777777" w:rsidR="000D2ACE" w:rsidRPr="00734A7D" w:rsidRDefault="000D2ACE" w:rsidP="000D2ACE">
      <w:pPr>
        <w:spacing w:before="240" w:line="480" w:lineRule="auto"/>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Teipel SJ, Kurth J, Krause B, Grothe MJ, for the Alzheimer’s Disease Neuroimaging </w:t>
      </w:r>
    </w:p>
    <w:p w14:paraId="2AC45D99"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Initiative, 2015. The relative importance of imaging markers for the prediction of </w:t>
      </w:r>
    </w:p>
    <w:p w14:paraId="4A477140" w14:textId="77777777"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 xml:space="preserve">Alzheimer’s disease dementia in mild cognitive impairment – Beyond regression. </w:t>
      </w:r>
    </w:p>
    <w:p w14:paraId="5E0EF9E5" w14:textId="27CC9B28" w:rsidR="000D2ACE" w:rsidRPr="00734A7D" w:rsidRDefault="000D2ACE" w:rsidP="000D2ACE">
      <w:pPr>
        <w:spacing w:before="240" w:line="480" w:lineRule="auto"/>
        <w:ind w:firstLine="720"/>
        <w:rPr>
          <w:rFonts w:ascii="Times New Roman" w:hAnsi="Times New Roman" w:cs="Times New Roman"/>
          <w:sz w:val="24"/>
          <w:szCs w:val="24"/>
          <w:lang w:val="en-GB"/>
        </w:rPr>
      </w:pPr>
      <w:r w:rsidRPr="00734A7D">
        <w:rPr>
          <w:rFonts w:ascii="Times New Roman" w:hAnsi="Times New Roman" w:cs="Times New Roman"/>
          <w:sz w:val="24"/>
          <w:szCs w:val="24"/>
          <w:lang w:val="en-GB"/>
        </w:rPr>
        <w:t>NeuroImage: Clinical 8, 583-593. Doi: 10.1016/j.nicl.2015.05.006</w:t>
      </w:r>
    </w:p>
    <w:p w14:paraId="2DEB96AB" w14:textId="5C2DD303" w:rsidR="00367B41" w:rsidRPr="00734A7D" w:rsidRDefault="00367B41" w:rsidP="000D2ACE">
      <w:pPr>
        <w:spacing w:before="240" w:line="480" w:lineRule="auto"/>
        <w:textAlignment w:val="baseline"/>
        <w:rPr>
          <w:rFonts w:ascii="Times New Roman" w:hAnsi="Times New Roman" w:cs="Times New Roman"/>
          <w:sz w:val="24"/>
          <w:szCs w:val="24"/>
        </w:rPr>
      </w:pPr>
      <w:r w:rsidRPr="00734A7D">
        <w:rPr>
          <w:rFonts w:ascii="Times New Roman" w:hAnsi="Times New Roman" w:cs="Times New Roman"/>
          <w:sz w:val="24"/>
          <w:szCs w:val="24"/>
          <w:lang w:val="de-DE"/>
        </w:rPr>
        <w:t xml:space="preserve">Thal DR, Rüb U, Orantes M, Braak H, 2002. </w:t>
      </w:r>
      <w:r w:rsidR="00712006" w:rsidRPr="00734A7D">
        <w:rPr>
          <w:rFonts w:ascii="Times New Roman" w:hAnsi="Times New Roman" w:cs="Times New Roman"/>
          <w:sz w:val="24"/>
          <w:szCs w:val="24"/>
        </w:rPr>
        <w:t xml:space="preserve">Phases of A beta-deposition in the human brain </w:t>
      </w:r>
    </w:p>
    <w:p w14:paraId="1165C63C" w14:textId="77777777" w:rsidR="00367B41" w:rsidRPr="00734A7D" w:rsidRDefault="00712006"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lastRenderedPageBreak/>
        <w:t>and its relevance for the development of AD. Neurology 58(12)</w:t>
      </w:r>
      <w:r w:rsidR="00367B41" w:rsidRPr="00734A7D">
        <w:rPr>
          <w:rFonts w:ascii="Times New Roman" w:hAnsi="Times New Roman" w:cs="Times New Roman"/>
          <w:sz w:val="24"/>
          <w:szCs w:val="24"/>
        </w:rPr>
        <w:t xml:space="preserve">, </w:t>
      </w:r>
      <w:r w:rsidRPr="00734A7D">
        <w:rPr>
          <w:rFonts w:ascii="Times New Roman" w:hAnsi="Times New Roman" w:cs="Times New Roman"/>
          <w:sz w:val="24"/>
          <w:szCs w:val="24"/>
        </w:rPr>
        <w:t>1791-1800.</w:t>
      </w:r>
      <w:r w:rsidR="00F55AE0" w:rsidRPr="00734A7D">
        <w:rPr>
          <w:rFonts w:ascii="Times New Roman" w:hAnsi="Times New Roman" w:cs="Times New Roman"/>
          <w:sz w:val="24"/>
          <w:szCs w:val="24"/>
        </w:rPr>
        <w:t xml:space="preserve"> </w:t>
      </w:r>
    </w:p>
    <w:p w14:paraId="60505457" w14:textId="77777777" w:rsidR="00B25806" w:rsidRPr="00734A7D" w:rsidRDefault="00787235" w:rsidP="000D2ACE">
      <w:pPr>
        <w:spacing w:before="240" w:line="480" w:lineRule="auto"/>
        <w:ind w:firstLine="720"/>
        <w:textAlignment w:val="baseline"/>
        <w:rPr>
          <w:rFonts w:ascii="Times New Roman" w:hAnsi="Times New Roman" w:cs="Times New Roman"/>
          <w:sz w:val="24"/>
          <w:szCs w:val="24"/>
        </w:rPr>
      </w:pPr>
      <w:r w:rsidRPr="00734A7D">
        <w:rPr>
          <w:rFonts w:ascii="Times New Roman" w:hAnsi="Times New Roman" w:cs="Times New Roman"/>
          <w:sz w:val="24"/>
          <w:szCs w:val="24"/>
        </w:rPr>
        <w:t xml:space="preserve">Doi: </w:t>
      </w:r>
      <w:r w:rsidR="00712006" w:rsidRPr="00734A7D">
        <w:rPr>
          <w:rFonts w:ascii="Times New Roman" w:hAnsi="Times New Roman" w:cs="Times New Roman"/>
          <w:sz w:val="24"/>
          <w:szCs w:val="24"/>
        </w:rPr>
        <w:t>10.1212/wnl.58.12.1791</w:t>
      </w:r>
    </w:p>
    <w:p w14:paraId="626246EA" w14:textId="77777777" w:rsidR="00F11C27" w:rsidRPr="00734A7D" w:rsidRDefault="00F11C27" w:rsidP="000D2ACE">
      <w:pPr>
        <w:pStyle w:val="padding-3"/>
        <w:shd w:val="clear" w:color="auto" w:fill="FFFFFF"/>
        <w:spacing w:before="240" w:beforeAutospacing="0" w:after="160" w:afterAutospacing="0" w:line="480" w:lineRule="auto"/>
      </w:pPr>
      <w:r w:rsidRPr="00734A7D">
        <w:t xml:space="preserve">Tsutsui Y, Awamoto S, </w:t>
      </w:r>
      <w:hyperlink r:id="rId14" w:history="1">
        <w:r w:rsidRPr="00734A7D">
          <w:t>Himuro</w:t>
        </w:r>
      </w:hyperlink>
      <w:r w:rsidRPr="00734A7D">
        <w:t xml:space="preserve"> K, </w:t>
      </w:r>
      <w:hyperlink r:id="rId15" w:history="1">
        <w:r w:rsidRPr="00734A7D">
          <w:t>Umezu</w:t>
        </w:r>
      </w:hyperlink>
      <w:r w:rsidRPr="00734A7D">
        <w:t xml:space="preserve"> Y,Baba S, Sasaki M, 2018. </w:t>
      </w:r>
      <w:r w:rsidR="00712006" w:rsidRPr="00734A7D">
        <w:t xml:space="preserve">Characteristics of </w:t>
      </w:r>
    </w:p>
    <w:p w14:paraId="224D2A4B" w14:textId="77777777" w:rsidR="00F11C27" w:rsidRPr="00734A7D" w:rsidRDefault="00712006" w:rsidP="000D2ACE">
      <w:pPr>
        <w:pStyle w:val="padding-3"/>
        <w:shd w:val="clear" w:color="auto" w:fill="FFFFFF"/>
        <w:spacing w:before="240" w:beforeAutospacing="0" w:after="160" w:afterAutospacing="0" w:line="480" w:lineRule="auto"/>
        <w:ind w:firstLine="720"/>
      </w:pPr>
      <w:r w:rsidRPr="00734A7D">
        <w:t xml:space="preserve">smoothing filters to achieve the guideline recommended positron emission </w:t>
      </w:r>
    </w:p>
    <w:p w14:paraId="4253F85B" w14:textId="77777777" w:rsidR="00F11C27" w:rsidRPr="00734A7D" w:rsidRDefault="00712006" w:rsidP="000D2ACE">
      <w:pPr>
        <w:pStyle w:val="padding-3"/>
        <w:shd w:val="clear" w:color="auto" w:fill="FFFFFF"/>
        <w:spacing w:before="240" w:beforeAutospacing="0" w:after="160" w:afterAutospacing="0" w:line="480" w:lineRule="auto"/>
        <w:ind w:firstLine="720"/>
      </w:pPr>
      <w:r w:rsidRPr="00734A7D">
        <w:t xml:space="preserve">tomography image without harmonization. Asia Ocean J Nuc Med Biol. </w:t>
      </w:r>
    </w:p>
    <w:p w14:paraId="63743A79" w14:textId="60C633C9" w:rsidR="00AA1E8D" w:rsidRPr="00734A7D" w:rsidRDefault="00712006" w:rsidP="005F3B72">
      <w:pPr>
        <w:pStyle w:val="padding-3"/>
        <w:shd w:val="clear" w:color="auto" w:fill="FFFFFF"/>
        <w:spacing w:before="240" w:beforeAutospacing="0" w:after="160" w:afterAutospacing="0" w:line="480" w:lineRule="auto"/>
        <w:ind w:firstLine="720"/>
      </w:pPr>
      <w:r w:rsidRPr="00734A7D">
        <w:t>6(1)</w:t>
      </w:r>
      <w:r w:rsidR="00F11C27" w:rsidRPr="00734A7D">
        <w:t xml:space="preserve">, </w:t>
      </w:r>
      <w:r w:rsidRPr="00734A7D">
        <w:t xml:space="preserve">15-23. </w:t>
      </w:r>
      <w:r w:rsidR="00787235" w:rsidRPr="00734A7D">
        <w:t xml:space="preserve">Doi: </w:t>
      </w:r>
      <w:r w:rsidRPr="00734A7D">
        <w:t>10.22038/aojnmb.2017.26684.1186</w:t>
      </w:r>
    </w:p>
    <w:p w14:paraId="2EBD9763" w14:textId="328D12AE" w:rsidR="009648E5" w:rsidRPr="00734A7D" w:rsidRDefault="009648E5" w:rsidP="005F3B72">
      <w:pPr>
        <w:pStyle w:val="padding-3"/>
        <w:shd w:val="clear" w:color="auto" w:fill="FFFFFF"/>
        <w:spacing w:before="240" w:beforeAutospacing="0" w:after="160" w:afterAutospacing="0" w:line="480" w:lineRule="auto"/>
        <w:ind w:firstLine="720"/>
        <w:rPr>
          <w:rFonts w:ascii="Helvetica" w:hAnsi="Helvetica" w:cs="Helvetica"/>
          <w:sz w:val="21"/>
          <w:szCs w:val="21"/>
        </w:rPr>
      </w:pPr>
    </w:p>
    <w:p w14:paraId="691277F2" w14:textId="18065404" w:rsidR="005F1EF2" w:rsidRPr="00734A7D" w:rsidRDefault="005F1EF2" w:rsidP="005F3B72">
      <w:pPr>
        <w:pStyle w:val="padding-3"/>
        <w:shd w:val="clear" w:color="auto" w:fill="FFFFFF"/>
        <w:spacing w:before="240" w:beforeAutospacing="0" w:after="160" w:afterAutospacing="0" w:line="480" w:lineRule="auto"/>
        <w:ind w:firstLine="720"/>
        <w:rPr>
          <w:rFonts w:ascii="Helvetica" w:hAnsi="Helvetica" w:cs="Helvetica"/>
          <w:sz w:val="21"/>
          <w:szCs w:val="21"/>
        </w:rPr>
      </w:pPr>
    </w:p>
    <w:p w14:paraId="45D1D1D4" w14:textId="77777777" w:rsidR="005F1EF2" w:rsidRPr="00734A7D" w:rsidRDefault="005F1EF2" w:rsidP="005F3B72">
      <w:pPr>
        <w:pStyle w:val="padding-3"/>
        <w:shd w:val="clear" w:color="auto" w:fill="FFFFFF"/>
        <w:spacing w:before="240" w:beforeAutospacing="0" w:after="160" w:afterAutospacing="0" w:line="480" w:lineRule="auto"/>
        <w:ind w:firstLine="720"/>
        <w:rPr>
          <w:rFonts w:ascii="Helvetica" w:hAnsi="Helvetica" w:cs="Helvetica"/>
          <w:sz w:val="21"/>
          <w:szCs w:val="21"/>
        </w:rPr>
      </w:pPr>
    </w:p>
    <w:p w14:paraId="7517987F" w14:textId="77777777" w:rsidR="00880704" w:rsidRPr="00734A7D" w:rsidRDefault="00880704" w:rsidP="00880704">
      <w:r w:rsidRPr="00734A7D">
        <w:rPr>
          <w:rFonts w:ascii="Times New Roman" w:hAnsi="Times New Roman" w:cs="Times New Roman"/>
          <w:b/>
          <w:bCs/>
          <w:noProof/>
          <w:sz w:val="24"/>
          <w:szCs w:val="24"/>
          <w:lang w:val="de-DE" w:eastAsia="de-DE"/>
        </w:rPr>
        <w:lastRenderedPageBreak/>
        <w:drawing>
          <wp:inline distT="0" distB="0" distL="0" distR="0" wp14:anchorId="794C3FB1" wp14:editId="7D346587">
            <wp:extent cx="5731510" cy="4605544"/>
            <wp:effectExtent l="19050" t="19050" r="21590" b="2413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6">
                      <a:extLst>
                        <a:ext uri="{28A0092B-C50C-407E-A947-70E740481C1C}">
                          <a14:useLocalDpi xmlns:a14="http://schemas.microsoft.com/office/drawing/2010/main" val="0"/>
                        </a:ext>
                      </a:extLst>
                    </a:blip>
                    <a:stretch>
                      <a:fillRect/>
                    </a:stretch>
                  </pic:blipFill>
                  <pic:spPr>
                    <a:xfrm>
                      <a:off x="0" y="0"/>
                      <a:ext cx="5731510" cy="4605544"/>
                    </a:xfrm>
                    <a:prstGeom prst="rect">
                      <a:avLst/>
                    </a:prstGeom>
                    <a:ln>
                      <a:solidFill>
                        <a:schemeClr val="tx1"/>
                      </a:solidFill>
                    </a:ln>
                  </pic:spPr>
                </pic:pic>
              </a:graphicData>
            </a:graphic>
          </wp:inline>
        </w:drawing>
      </w:r>
    </w:p>
    <w:p w14:paraId="25423DDE" w14:textId="2CA30DC0" w:rsidR="00880704" w:rsidRPr="00734A7D" w:rsidRDefault="00880704" w:rsidP="00880704">
      <w:pPr>
        <w:spacing w:line="480" w:lineRule="auto"/>
        <w:rPr>
          <w:rFonts w:ascii="Times New Roman" w:hAnsi="Times New Roman" w:cs="Times New Roman"/>
          <w:sz w:val="24"/>
          <w:szCs w:val="24"/>
        </w:rPr>
      </w:pPr>
      <w:r w:rsidRPr="00734A7D">
        <w:rPr>
          <w:rFonts w:ascii="Times New Roman" w:hAnsi="Times New Roman" w:cs="Times New Roman"/>
          <w:b/>
          <w:bCs/>
          <w:sz w:val="24"/>
          <w:szCs w:val="24"/>
        </w:rPr>
        <w:t>Figure 1.</w:t>
      </w:r>
      <w:r w:rsidRPr="00734A7D">
        <w:rPr>
          <w:rFonts w:ascii="Times New Roman" w:hAnsi="Times New Roman" w:cs="Times New Roman"/>
          <w:sz w:val="24"/>
          <w:szCs w:val="24"/>
        </w:rPr>
        <w:t xml:space="preserve"> </w:t>
      </w:r>
      <w:r w:rsidRPr="00734A7D">
        <w:rPr>
          <w:rFonts w:ascii="Times New Roman" w:eastAsia="Calibri" w:hAnsi="Times New Roman" w:cs="Times New Roman"/>
          <w:bCs/>
          <w:color w:val="000000"/>
          <w:sz w:val="24"/>
          <w:szCs w:val="24"/>
        </w:rPr>
        <w:t xml:space="preserve">Regional differences in </w:t>
      </w:r>
      <w:r w:rsidRPr="00734A7D">
        <w:rPr>
          <w:rFonts w:ascii="Times New Roman" w:hAnsi="Times New Roman" w:cs="Times New Roman"/>
          <w:sz w:val="24"/>
          <w:szCs w:val="24"/>
        </w:rPr>
        <w:t xml:space="preserve">Aβ burden. </w:t>
      </w:r>
      <w:r w:rsidRPr="00734A7D">
        <w:rPr>
          <w:rFonts w:ascii="Times New Roman" w:eastAsia="Calibri" w:hAnsi="Times New Roman" w:cs="Times New Roman"/>
          <w:bCs/>
          <w:color w:val="000000"/>
          <w:sz w:val="24"/>
          <w:szCs w:val="24"/>
        </w:rPr>
        <w:t xml:space="preserve">(A) Regional differences in </w:t>
      </w:r>
      <w:r w:rsidRPr="00734A7D">
        <w:rPr>
          <w:rFonts w:ascii="Times New Roman" w:hAnsi="Times New Roman" w:cs="Times New Roman"/>
          <w:sz w:val="24"/>
          <w:szCs w:val="24"/>
        </w:rPr>
        <w:t>Aβ</w:t>
      </w:r>
      <w:r w:rsidRPr="00734A7D">
        <w:rPr>
          <w:rFonts w:ascii="Times New Roman" w:eastAsia="Calibri" w:hAnsi="Times New Roman" w:cs="Times New Roman"/>
          <w:bCs/>
          <w:color w:val="000000"/>
          <w:sz w:val="24"/>
          <w:szCs w:val="24"/>
        </w:rPr>
        <w:t xml:space="preserve"> burden for CN-MCI/AD</w:t>
      </w:r>
      <w:r w:rsidR="00906BA5" w:rsidRPr="00734A7D">
        <w:rPr>
          <w:rFonts w:ascii="Times New Roman" w:eastAsia="Calibri" w:hAnsi="Times New Roman" w:cs="Times New Roman"/>
          <w:bCs/>
          <w:color w:val="000000"/>
          <w:sz w:val="24"/>
          <w:szCs w:val="24"/>
        </w:rPr>
        <w:t xml:space="preserve"> (N=38) </w:t>
      </w:r>
      <w:r w:rsidRPr="00734A7D">
        <w:rPr>
          <w:rFonts w:ascii="Times New Roman" w:eastAsia="Calibri" w:hAnsi="Times New Roman" w:cs="Times New Roman"/>
          <w:bCs/>
          <w:color w:val="000000"/>
          <w:sz w:val="24"/>
          <w:szCs w:val="24"/>
        </w:rPr>
        <w:t>&gt; CN-CN</w:t>
      </w:r>
      <w:r w:rsidR="00906BA5" w:rsidRPr="00734A7D">
        <w:rPr>
          <w:rFonts w:ascii="Times New Roman" w:eastAsia="Calibri" w:hAnsi="Times New Roman" w:cs="Times New Roman"/>
          <w:bCs/>
          <w:color w:val="000000"/>
          <w:sz w:val="24"/>
          <w:szCs w:val="24"/>
        </w:rPr>
        <w:t xml:space="preserve"> (N=38)</w:t>
      </w:r>
      <w:r w:rsidRPr="00734A7D">
        <w:rPr>
          <w:rFonts w:ascii="Times New Roman" w:eastAsia="Calibri" w:hAnsi="Times New Roman" w:cs="Times New Roman"/>
          <w:bCs/>
          <w:color w:val="000000"/>
          <w:sz w:val="24"/>
          <w:szCs w:val="24"/>
        </w:rPr>
        <w:t xml:space="preserve">, and (B) MCI-AD </w:t>
      </w:r>
      <w:r w:rsidR="00906BA5" w:rsidRPr="00734A7D">
        <w:rPr>
          <w:rFonts w:ascii="Times New Roman" w:eastAsia="Calibri" w:hAnsi="Times New Roman" w:cs="Times New Roman"/>
          <w:bCs/>
          <w:color w:val="000000"/>
          <w:sz w:val="24"/>
          <w:szCs w:val="24"/>
        </w:rPr>
        <w:t xml:space="preserve">(N=104) </w:t>
      </w:r>
      <w:r w:rsidRPr="00734A7D">
        <w:rPr>
          <w:rFonts w:ascii="Times New Roman" w:eastAsia="Calibri" w:hAnsi="Times New Roman" w:cs="Times New Roman"/>
          <w:bCs/>
          <w:color w:val="000000"/>
          <w:sz w:val="24"/>
          <w:szCs w:val="24"/>
        </w:rPr>
        <w:t>&gt; MCI-MCI</w:t>
      </w:r>
      <w:r w:rsidR="00906BA5" w:rsidRPr="00734A7D">
        <w:rPr>
          <w:rFonts w:ascii="Times New Roman" w:eastAsia="Calibri" w:hAnsi="Times New Roman" w:cs="Times New Roman"/>
          <w:bCs/>
          <w:color w:val="000000"/>
          <w:sz w:val="24"/>
          <w:szCs w:val="24"/>
        </w:rPr>
        <w:t xml:space="preserve"> (N=104)</w:t>
      </w:r>
      <w:r w:rsidRPr="00734A7D">
        <w:rPr>
          <w:rFonts w:ascii="Times New Roman" w:eastAsia="Calibri" w:hAnsi="Times New Roman" w:cs="Times New Roman"/>
          <w:bCs/>
          <w:color w:val="000000"/>
          <w:sz w:val="24"/>
          <w:szCs w:val="24"/>
        </w:rPr>
        <w:t>. Results are color-coded according to the t-value statistics and illustrated on an inflated representation of the brain using CAT12 toolbox.</w:t>
      </w:r>
    </w:p>
    <w:p w14:paraId="172D5F7B" w14:textId="42B49FFD" w:rsidR="003151CC" w:rsidRPr="00734A7D" w:rsidRDefault="003151CC"/>
    <w:p w14:paraId="09366A63" w14:textId="342DB96D" w:rsidR="003151CC" w:rsidRPr="00734A7D" w:rsidRDefault="003151CC" w:rsidP="003151CC">
      <w:pPr>
        <w:spacing w:line="480" w:lineRule="auto"/>
        <w:rPr>
          <w:rFonts w:ascii="Times New Roman" w:hAnsi="Times New Roman" w:cs="Times New Roman"/>
          <w:b/>
          <w:bCs/>
          <w:sz w:val="24"/>
          <w:szCs w:val="24"/>
        </w:rPr>
      </w:pPr>
    </w:p>
    <w:p w14:paraId="06D05EDA" w14:textId="02D37E3B" w:rsidR="00EF13E1" w:rsidRPr="00734A7D" w:rsidRDefault="00EF13E1"/>
    <w:p w14:paraId="069E5748" w14:textId="03872154" w:rsidR="00EF13E1" w:rsidRPr="00734A7D" w:rsidRDefault="00EF13E1">
      <w:pPr>
        <w:rPr>
          <w:lang w:val="en-GB"/>
        </w:rPr>
      </w:pPr>
    </w:p>
    <w:p w14:paraId="6FC371E4" w14:textId="77777777" w:rsidR="00D77977" w:rsidRPr="00734A7D" w:rsidRDefault="00D77977">
      <w:pPr>
        <w:rPr>
          <w:lang w:val="en-GB"/>
        </w:rPr>
        <w:sectPr w:rsidR="00D77977" w:rsidRPr="00734A7D" w:rsidSect="00712006">
          <w:footerReference w:type="default" r:id="rId17"/>
          <w:footerReference w:type="first" r:id="rId18"/>
          <w:pgSz w:w="11906" w:h="16838"/>
          <w:pgMar w:top="1440" w:right="1440" w:bottom="1440" w:left="1440" w:header="708" w:footer="708" w:gutter="0"/>
          <w:cols w:space="708"/>
          <w:docGrid w:linePitch="360"/>
        </w:sectPr>
      </w:pPr>
    </w:p>
    <w:tbl>
      <w:tblPr>
        <w:tblStyle w:val="Tabellenraster"/>
        <w:tblpPr w:leftFromText="180" w:rightFromText="180" w:vertAnchor="text" w:horzAnchor="margin" w:tblpY="-216"/>
        <w:tblW w:w="14034" w:type="dxa"/>
        <w:tblLook w:val="04A0" w:firstRow="1" w:lastRow="0" w:firstColumn="1" w:lastColumn="0" w:noHBand="0" w:noVBand="1"/>
      </w:tblPr>
      <w:tblGrid>
        <w:gridCol w:w="2552"/>
        <w:gridCol w:w="2835"/>
        <w:gridCol w:w="2835"/>
        <w:gridCol w:w="2551"/>
        <w:gridCol w:w="3261"/>
      </w:tblGrid>
      <w:tr w:rsidR="00D77977" w:rsidRPr="00734A7D" w14:paraId="01CDBB87" w14:textId="77777777" w:rsidTr="0055460B">
        <w:trPr>
          <w:trHeight w:val="690"/>
        </w:trPr>
        <w:tc>
          <w:tcPr>
            <w:tcW w:w="14034" w:type="dxa"/>
            <w:gridSpan w:val="5"/>
            <w:tcBorders>
              <w:top w:val="nil"/>
              <w:left w:val="nil"/>
              <w:bottom w:val="single" w:sz="4" w:space="0" w:color="auto"/>
              <w:right w:val="nil"/>
            </w:tcBorders>
          </w:tcPr>
          <w:p w14:paraId="6007421D" w14:textId="77777777" w:rsidR="00D77977" w:rsidRPr="00734A7D" w:rsidRDefault="00D77977" w:rsidP="00CF7220">
            <w:pPr>
              <w:spacing w:line="360" w:lineRule="auto"/>
              <w:rPr>
                <w:rFonts w:ascii="Times New Roman" w:hAnsi="Times New Roman" w:cs="Times New Roman"/>
                <w:sz w:val="24"/>
                <w:szCs w:val="24"/>
              </w:rPr>
            </w:pPr>
            <w:r w:rsidRPr="00734A7D">
              <w:rPr>
                <w:rFonts w:ascii="Times New Roman" w:hAnsi="Times New Roman" w:cs="Times New Roman"/>
                <w:sz w:val="24"/>
                <w:szCs w:val="24"/>
              </w:rPr>
              <w:lastRenderedPageBreak/>
              <w:t>Table 1</w:t>
            </w:r>
          </w:p>
          <w:p w14:paraId="11804B19" w14:textId="77777777" w:rsidR="00D77977" w:rsidRPr="00734A7D" w:rsidRDefault="00D77977" w:rsidP="00CF7220">
            <w:pPr>
              <w:spacing w:line="360" w:lineRule="auto"/>
              <w:rPr>
                <w:rFonts w:ascii="Times New Roman" w:hAnsi="Times New Roman" w:cs="Times New Roman"/>
                <w:b/>
                <w:bCs/>
                <w:sz w:val="24"/>
                <w:szCs w:val="24"/>
              </w:rPr>
            </w:pPr>
            <w:r w:rsidRPr="00734A7D">
              <w:rPr>
                <w:rFonts w:ascii="Times New Roman" w:hAnsi="Times New Roman" w:cs="Times New Roman"/>
                <w:sz w:val="24"/>
                <w:szCs w:val="24"/>
              </w:rPr>
              <w:t>Mean and Standard Deviations per Group and Variable</w:t>
            </w:r>
          </w:p>
        </w:tc>
      </w:tr>
      <w:tr w:rsidR="00D77977" w:rsidRPr="00734A7D" w14:paraId="6439C8E6" w14:textId="77777777" w:rsidTr="0055460B">
        <w:trPr>
          <w:trHeight w:val="690"/>
        </w:trPr>
        <w:tc>
          <w:tcPr>
            <w:tcW w:w="2552" w:type="dxa"/>
            <w:tcBorders>
              <w:top w:val="single" w:sz="4" w:space="0" w:color="auto"/>
              <w:left w:val="nil"/>
              <w:bottom w:val="single" w:sz="4" w:space="0" w:color="auto"/>
              <w:right w:val="nil"/>
            </w:tcBorders>
          </w:tcPr>
          <w:p w14:paraId="4C9FDB6C"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Variable</w:t>
            </w:r>
          </w:p>
        </w:tc>
        <w:tc>
          <w:tcPr>
            <w:tcW w:w="2835" w:type="dxa"/>
            <w:tcBorders>
              <w:top w:val="single" w:sz="4" w:space="0" w:color="auto"/>
              <w:left w:val="nil"/>
              <w:bottom w:val="single" w:sz="4" w:space="0" w:color="auto"/>
              <w:right w:val="nil"/>
            </w:tcBorders>
          </w:tcPr>
          <w:p w14:paraId="2BB18C9D" w14:textId="77777777" w:rsidR="00D77977" w:rsidRPr="00734A7D" w:rsidRDefault="00D77977" w:rsidP="0055460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CN-CN</w:t>
            </w:r>
          </w:p>
          <w:p w14:paraId="556C2D5D" w14:textId="77777777" w:rsidR="00D77977" w:rsidRPr="00734A7D" w:rsidRDefault="00D77977" w:rsidP="0055460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(N=38)</w:t>
            </w:r>
          </w:p>
        </w:tc>
        <w:tc>
          <w:tcPr>
            <w:tcW w:w="2835" w:type="dxa"/>
            <w:tcBorders>
              <w:top w:val="single" w:sz="4" w:space="0" w:color="auto"/>
              <w:left w:val="nil"/>
              <w:bottom w:val="single" w:sz="4" w:space="0" w:color="auto"/>
              <w:right w:val="nil"/>
            </w:tcBorders>
          </w:tcPr>
          <w:p w14:paraId="321529D2" w14:textId="77777777" w:rsidR="00D77977" w:rsidRPr="00734A7D" w:rsidRDefault="00D77977" w:rsidP="0055460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 xml:space="preserve">CN-MCI/AD </w:t>
            </w:r>
          </w:p>
          <w:p w14:paraId="70F21961" w14:textId="77777777" w:rsidR="00D77977" w:rsidRPr="00734A7D" w:rsidRDefault="00D77977" w:rsidP="0055460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(N=38)</w:t>
            </w:r>
          </w:p>
        </w:tc>
        <w:tc>
          <w:tcPr>
            <w:tcW w:w="2551" w:type="dxa"/>
            <w:tcBorders>
              <w:top w:val="single" w:sz="4" w:space="0" w:color="auto"/>
              <w:left w:val="nil"/>
              <w:bottom w:val="single" w:sz="4" w:space="0" w:color="auto"/>
              <w:right w:val="nil"/>
            </w:tcBorders>
          </w:tcPr>
          <w:p w14:paraId="12C49201" w14:textId="77777777" w:rsidR="00D77977" w:rsidRPr="00734A7D" w:rsidRDefault="00D77977" w:rsidP="0055460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MCI-MCI</w:t>
            </w:r>
          </w:p>
          <w:p w14:paraId="1A21FC45" w14:textId="77777777" w:rsidR="00D77977" w:rsidRPr="00734A7D" w:rsidRDefault="00D77977" w:rsidP="0055460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(N=104)</w:t>
            </w:r>
          </w:p>
        </w:tc>
        <w:tc>
          <w:tcPr>
            <w:tcW w:w="3261" w:type="dxa"/>
            <w:tcBorders>
              <w:top w:val="single" w:sz="4" w:space="0" w:color="auto"/>
              <w:left w:val="nil"/>
              <w:bottom w:val="single" w:sz="4" w:space="0" w:color="auto"/>
              <w:right w:val="nil"/>
            </w:tcBorders>
          </w:tcPr>
          <w:p w14:paraId="24D7969E" w14:textId="77777777" w:rsidR="00D77977" w:rsidRPr="00734A7D" w:rsidRDefault="00D77977" w:rsidP="0055460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 xml:space="preserve">MCI-AD </w:t>
            </w:r>
          </w:p>
          <w:p w14:paraId="7DBA0409" w14:textId="77777777" w:rsidR="00D77977" w:rsidRPr="00734A7D" w:rsidRDefault="00D77977" w:rsidP="0055460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(N=104)</w:t>
            </w:r>
          </w:p>
        </w:tc>
      </w:tr>
      <w:tr w:rsidR="00D77977" w:rsidRPr="00734A7D" w14:paraId="55222587" w14:textId="77777777" w:rsidTr="0055460B">
        <w:trPr>
          <w:trHeight w:val="297"/>
        </w:trPr>
        <w:tc>
          <w:tcPr>
            <w:tcW w:w="2552" w:type="dxa"/>
            <w:tcBorders>
              <w:top w:val="single" w:sz="4" w:space="0" w:color="auto"/>
              <w:left w:val="nil"/>
              <w:bottom w:val="nil"/>
              <w:right w:val="nil"/>
            </w:tcBorders>
          </w:tcPr>
          <w:p w14:paraId="17DD14AC"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Age (years)</w:t>
            </w:r>
          </w:p>
        </w:tc>
        <w:tc>
          <w:tcPr>
            <w:tcW w:w="2835" w:type="dxa"/>
            <w:tcBorders>
              <w:top w:val="single" w:sz="4" w:space="0" w:color="auto"/>
              <w:left w:val="nil"/>
              <w:bottom w:val="nil"/>
              <w:right w:val="nil"/>
            </w:tcBorders>
          </w:tcPr>
          <w:p w14:paraId="176EBA4B"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78.05 ± 5.31</w:t>
            </w:r>
          </w:p>
        </w:tc>
        <w:tc>
          <w:tcPr>
            <w:tcW w:w="2835" w:type="dxa"/>
            <w:tcBorders>
              <w:top w:val="single" w:sz="4" w:space="0" w:color="auto"/>
              <w:left w:val="nil"/>
              <w:bottom w:val="nil"/>
              <w:right w:val="nil"/>
            </w:tcBorders>
          </w:tcPr>
          <w:p w14:paraId="0DED7E61"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78.33 ± 5.38</w:t>
            </w:r>
          </w:p>
        </w:tc>
        <w:tc>
          <w:tcPr>
            <w:tcW w:w="2551" w:type="dxa"/>
            <w:tcBorders>
              <w:top w:val="single" w:sz="4" w:space="0" w:color="auto"/>
              <w:left w:val="nil"/>
              <w:bottom w:val="nil"/>
              <w:right w:val="nil"/>
            </w:tcBorders>
          </w:tcPr>
          <w:p w14:paraId="6B160C61"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73.57 ± 6.43</w:t>
            </w:r>
          </w:p>
        </w:tc>
        <w:tc>
          <w:tcPr>
            <w:tcW w:w="3261" w:type="dxa"/>
            <w:tcBorders>
              <w:top w:val="single" w:sz="4" w:space="0" w:color="auto"/>
              <w:left w:val="nil"/>
              <w:bottom w:val="nil"/>
              <w:right w:val="nil"/>
            </w:tcBorders>
          </w:tcPr>
          <w:p w14:paraId="47E5C778"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73.30 ± 6.53</w:t>
            </w:r>
          </w:p>
        </w:tc>
      </w:tr>
      <w:tr w:rsidR="00D77977" w:rsidRPr="00734A7D" w14:paraId="35B34D76" w14:textId="77777777" w:rsidTr="0055460B">
        <w:trPr>
          <w:trHeight w:val="290"/>
        </w:trPr>
        <w:tc>
          <w:tcPr>
            <w:tcW w:w="2552" w:type="dxa"/>
            <w:tcBorders>
              <w:top w:val="nil"/>
              <w:left w:val="nil"/>
              <w:bottom w:val="nil"/>
              <w:right w:val="nil"/>
            </w:tcBorders>
          </w:tcPr>
          <w:p w14:paraId="1A068B34"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Sex (m/f)</w:t>
            </w:r>
          </w:p>
        </w:tc>
        <w:tc>
          <w:tcPr>
            <w:tcW w:w="2835" w:type="dxa"/>
            <w:tcBorders>
              <w:top w:val="nil"/>
              <w:left w:val="nil"/>
              <w:bottom w:val="nil"/>
              <w:right w:val="nil"/>
            </w:tcBorders>
          </w:tcPr>
          <w:p w14:paraId="08171798"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20/18</w:t>
            </w:r>
          </w:p>
        </w:tc>
        <w:tc>
          <w:tcPr>
            <w:tcW w:w="2835" w:type="dxa"/>
            <w:tcBorders>
              <w:top w:val="nil"/>
              <w:left w:val="nil"/>
              <w:bottom w:val="nil"/>
              <w:right w:val="nil"/>
            </w:tcBorders>
          </w:tcPr>
          <w:p w14:paraId="78F0E38E"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20/18</w:t>
            </w:r>
          </w:p>
        </w:tc>
        <w:tc>
          <w:tcPr>
            <w:tcW w:w="2551" w:type="dxa"/>
            <w:tcBorders>
              <w:top w:val="nil"/>
              <w:left w:val="nil"/>
              <w:bottom w:val="nil"/>
              <w:right w:val="nil"/>
            </w:tcBorders>
          </w:tcPr>
          <w:p w14:paraId="4C56A769"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63/41</w:t>
            </w:r>
          </w:p>
        </w:tc>
        <w:tc>
          <w:tcPr>
            <w:tcW w:w="3261" w:type="dxa"/>
            <w:tcBorders>
              <w:top w:val="nil"/>
              <w:left w:val="nil"/>
              <w:bottom w:val="nil"/>
              <w:right w:val="nil"/>
            </w:tcBorders>
          </w:tcPr>
          <w:p w14:paraId="3361457B"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63/41</w:t>
            </w:r>
          </w:p>
        </w:tc>
      </w:tr>
      <w:tr w:rsidR="00D77977" w:rsidRPr="00734A7D" w14:paraId="73EE174C" w14:textId="77777777" w:rsidTr="0055460B">
        <w:trPr>
          <w:trHeight w:val="297"/>
        </w:trPr>
        <w:tc>
          <w:tcPr>
            <w:tcW w:w="2552" w:type="dxa"/>
            <w:tcBorders>
              <w:top w:val="nil"/>
              <w:left w:val="nil"/>
              <w:bottom w:val="nil"/>
              <w:right w:val="nil"/>
            </w:tcBorders>
          </w:tcPr>
          <w:p w14:paraId="3AAF702C"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APOE4 (+/-)</w:t>
            </w:r>
          </w:p>
        </w:tc>
        <w:tc>
          <w:tcPr>
            <w:tcW w:w="2835" w:type="dxa"/>
            <w:tcBorders>
              <w:top w:val="nil"/>
              <w:left w:val="nil"/>
              <w:bottom w:val="nil"/>
              <w:right w:val="nil"/>
            </w:tcBorders>
          </w:tcPr>
          <w:p w14:paraId="776F2CAF"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8/30</w:t>
            </w:r>
          </w:p>
        </w:tc>
        <w:tc>
          <w:tcPr>
            <w:tcW w:w="2835" w:type="dxa"/>
            <w:tcBorders>
              <w:top w:val="nil"/>
              <w:left w:val="nil"/>
              <w:bottom w:val="nil"/>
              <w:right w:val="nil"/>
            </w:tcBorders>
          </w:tcPr>
          <w:p w14:paraId="7F123A92"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21/17</w:t>
            </w:r>
          </w:p>
        </w:tc>
        <w:tc>
          <w:tcPr>
            <w:tcW w:w="2551" w:type="dxa"/>
            <w:tcBorders>
              <w:top w:val="nil"/>
              <w:left w:val="nil"/>
              <w:bottom w:val="nil"/>
              <w:right w:val="nil"/>
            </w:tcBorders>
          </w:tcPr>
          <w:p w14:paraId="795DDCC2"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63/41</w:t>
            </w:r>
          </w:p>
        </w:tc>
        <w:tc>
          <w:tcPr>
            <w:tcW w:w="3261" w:type="dxa"/>
            <w:tcBorders>
              <w:top w:val="nil"/>
              <w:left w:val="nil"/>
              <w:bottom w:val="nil"/>
              <w:right w:val="nil"/>
            </w:tcBorders>
          </w:tcPr>
          <w:p w14:paraId="20EB0A12"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78/26</w:t>
            </w:r>
          </w:p>
        </w:tc>
      </w:tr>
      <w:tr w:rsidR="00D77977" w:rsidRPr="00734A7D" w14:paraId="6076BEC1" w14:textId="77777777" w:rsidTr="0055460B">
        <w:trPr>
          <w:trHeight w:val="297"/>
        </w:trPr>
        <w:tc>
          <w:tcPr>
            <w:tcW w:w="2552" w:type="dxa"/>
            <w:tcBorders>
              <w:top w:val="nil"/>
              <w:left w:val="nil"/>
              <w:bottom w:val="nil"/>
              <w:right w:val="nil"/>
            </w:tcBorders>
          </w:tcPr>
          <w:p w14:paraId="1000B8BF"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Education (years)</w:t>
            </w:r>
          </w:p>
        </w:tc>
        <w:tc>
          <w:tcPr>
            <w:tcW w:w="2835" w:type="dxa"/>
            <w:tcBorders>
              <w:top w:val="nil"/>
              <w:left w:val="nil"/>
              <w:bottom w:val="nil"/>
              <w:right w:val="nil"/>
            </w:tcBorders>
          </w:tcPr>
          <w:p w14:paraId="06BC2DDD"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16.71 ±2.23</w:t>
            </w:r>
          </w:p>
        </w:tc>
        <w:tc>
          <w:tcPr>
            <w:tcW w:w="2835" w:type="dxa"/>
            <w:tcBorders>
              <w:top w:val="nil"/>
              <w:left w:val="nil"/>
              <w:bottom w:val="nil"/>
              <w:right w:val="nil"/>
            </w:tcBorders>
          </w:tcPr>
          <w:p w14:paraId="7C382CC8"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16.29 ± 2.89</w:t>
            </w:r>
          </w:p>
        </w:tc>
        <w:tc>
          <w:tcPr>
            <w:tcW w:w="2551" w:type="dxa"/>
            <w:tcBorders>
              <w:top w:val="nil"/>
              <w:left w:val="nil"/>
              <w:bottom w:val="nil"/>
              <w:right w:val="nil"/>
            </w:tcBorders>
          </w:tcPr>
          <w:p w14:paraId="121AE906"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16.24 ± 2.92</w:t>
            </w:r>
          </w:p>
        </w:tc>
        <w:tc>
          <w:tcPr>
            <w:tcW w:w="3261" w:type="dxa"/>
            <w:tcBorders>
              <w:top w:val="nil"/>
              <w:left w:val="nil"/>
              <w:bottom w:val="nil"/>
              <w:right w:val="nil"/>
            </w:tcBorders>
          </w:tcPr>
          <w:p w14:paraId="2D6A421B"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16.32 ± 2.63</w:t>
            </w:r>
          </w:p>
        </w:tc>
      </w:tr>
      <w:tr w:rsidR="00D77977" w:rsidRPr="00734A7D" w14:paraId="15CE3BA7" w14:textId="77777777" w:rsidTr="0055460B">
        <w:trPr>
          <w:trHeight w:val="297"/>
        </w:trPr>
        <w:tc>
          <w:tcPr>
            <w:tcW w:w="2552" w:type="dxa"/>
            <w:tcBorders>
              <w:top w:val="nil"/>
              <w:left w:val="nil"/>
              <w:bottom w:val="nil"/>
              <w:right w:val="nil"/>
            </w:tcBorders>
          </w:tcPr>
          <w:p w14:paraId="4680CDC0"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Months stable</w:t>
            </w:r>
          </w:p>
        </w:tc>
        <w:tc>
          <w:tcPr>
            <w:tcW w:w="2835" w:type="dxa"/>
            <w:tcBorders>
              <w:top w:val="nil"/>
              <w:left w:val="nil"/>
              <w:bottom w:val="nil"/>
              <w:right w:val="nil"/>
            </w:tcBorders>
          </w:tcPr>
          <w:p w14:paraId="56621E35"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60.32 ± 25.03</w:t>
            </w:r>
          </w:p>
        </w:tc>
        <w:tc>
          <w:tcPr>
            <w:tcW w:w="2835" w:type="dxa"/>
            <w:tcBorders>
              <w:top w:val="nil"/>
              <w:left w:val="nil"/>
              <w:bottom w:val="nil"/>
              <w:right w:val="nil"/>
            </w:tcBorders>
          </w:tcPr>
          <w:p w14:paraId="0D2DC0D5"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28.84 ± 24.15</w:t>
            </w:r>
          </w:p>
        </w:tc>
        <w:tc>
          <w:tcPr>
            <w:tcW w:w="2551" w:type="dxa"/>
            <w:tcBorders>
              <w:top w:val="nil"/>
              <w:left w:val="nil"/>
              <w:bottom w:val="nil"/>
              <w:right w:val="nil"/>
            </w:tcBorders>
          </w:tcPr>
          <w:p w14:paraId="2F4B5C3C"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43.15 ± 23.43</w:t>
            </w:r>
          </w:p>
        </w:tc>
        <w:tc>
          <w:tcPr>
            <w:tcW w:w="3261" w:type="dxa"/>
            <w:tcBorders>
              <w:top w:val="nil"/>
              <w:left w:val="nil"/>
              <w:bottom w:val="nil"/>
              <w:right w:val="nil"/>
            </w:tcBorders>
          </w:tcPr>
          <w:p w14:paraId="791E2DC1"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27.75 ± 19.98</w:t>
            </w:r>
          </w:p>
        </w:tc>
      </w:tr>
      <w:tr w:rsidR="00D77977" w:rsidRPr="00734A7D" w14:paraId="6DFCB8EF" w14:textId="77777777" w:rsidTr="0055460B">
        <w:trPr>
          <w:trHeight w:val="290"/>
        </w:trPr>
        <w:tc>
          <w:tcPr>
            <w:tcW w:w="2552" w:type="dxa"/>
            <w:tcBorders>
              <w:top w:val="nil"/>
              <w:left w:val="nil"/>
              <w:bottom w:val="nil"/>
              <w:right w:val="nil"/>
            </w:tcBorders>
          </w:tcPr>
          <w:p w14:paraId="23D336EF"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CSF Aβ</w:t>
            </w:r>
          </w:p>
        </w:tc>
        <w:tc>
          <w:tcPr>
            <w:tcW w:w="2835" w:type="dxa"/>
            <w:tcBorders>
              <w:top w:val="nil"/>
              <w:left w:val="nil"/>
              <w:bottom w:val="nil"/>
              <w:right w:val="nil"/>
            </w:tcBorders>
          </w:tcPr>
          <w:p w14:paraId="78EF2A50" w14:textId="4360667F"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1018.78 ± 419.75 (28)</w:t>
            </w:r>
          </w:p>
        </w:tc>
        <w:tc>
          <w:tcPr>
            <w:tcW w:w="2835" w:type="dxa"/>
            <w:tcBorders>
              <w:top w:val="nil"/>
              <w:left w:val="nil"/>
              <w:bottom w:val="nil"/>
              <w:right w:val="nil"/>
            </w:tcBorders>
          </w:tcPr>
          <w:p w14:paraId="0A3747CF" w14:textId="39887795"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830.49 ± 354.30 (27)</w:t>
            </w:r>
          </w:p>
        </w:tc>
        <w:tc>
          <w:tcPr>
            <w:tcW w:w="2551" w:type="dxa"/>
            <w:tcBorders>
              <w:top w:val="nil"/>
              <w:left w:val="nil"/>
              <w:bottom w:val="nil"/>
              <w:right w:val="nil"/>
            </w:tcBorders>
          </w:tcPr>
          <w:p w14:paraId="05CA96B6"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800.86 ± 269.04 (74)</w:t>
            </w:r>
          </w:p>
        </w:tc>
        <w:tc>
          <w:tcPr>
            <w:tcW w:w="3261" w:type="dxa"/>
            <w:tcBorders>
              <w:top w:val="nil"/>
              <w:left w:val="nil"/>
              <w:bottom w:val="nil"/>
              <w:right w:val="nil"/>
            </w:tcBorders>
          </w:tcPr>
          <w:p w14:paraId="480474AC" w14:textId="11EC83C9"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682.40 ± 184.59 (99)</w:t>
            </w:r>
          </w:p>
        </w:tc>
      </w:tr>
      <w:tr w:rsidR="00D77977" w:rsidRPr="00734A7D" w14:paraId="41A10F65" w14:textId="77777777" w:rsidTr="0055460B">
        <w:trPr>
          <w:trHeight w:val="290"/>
        </w:trPr>
        <w:tc>
          <w:tcPr>
            <w:tcW w:w="2552" w:type="dxa"/>
            <w:tcBorders>
              <w:top w:val="nil"/>
              <w:left w:val="nil"/>
              <w:bottom w:val="nil"/>
              <w:right w:val="nil"/>
            </w:tcBorders>
          </w:tcPr>
          <w:p w14:paraId="134F897C"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CSF t-tau</w:t>
            </w:r>
          </w:p>
        </w:tc>
        <w:tc>
          <w:tcPr>
            <w:tcW w:w="2835" w:type="dxa"/>
            <w:tcBorders>
              <w:top w:val="nil"/>
              <w:left w:val="nil"/>
              <w:bottom w:val="nil"/>
              <w:right w:val="nil"/>
            </w:tcBorders>
          </w:tcPr>
          <w:p w14:paraId="6D5A19CF"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306.33 ± 13.05 (28)</w:t>
            </w:r>
          </w:p>
        </w:tc>
        <w:tc>
          <w:tcPr>
            <w:tcW w:w="2835" w:type="dxa"/>
            <w:tcBorders>
              <w:top w:val="nil"/>
              <w:left w:val="nil"/>
              <w:bottom w:val="nil"/>
              <w:right w:val="nil"/>
            </w:tcBorders>
          </w:tcPr>
          <w:p w14:paraId="349D0A25"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303.89 ± 91.11 (27)</w:t>
            </w:r>
          </w:p>
        </w:tc>
        <w:tc>
          <w:tcPr>
            <w:tcW w:w="2551" w:type="dxa"/>
            <w:tcBorders>
              <w:top w:val="nil"/>
              <w:left w:val="nil"/>
              <w:bottom w:val="nil"/>
              <w:right w:val="nil"/>
            </w:tcBorders>
          </w:tcPr>
          <w:p w14:paraId="079AEF4F"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287.59 ± 116.33 (79)</w:t>
            </w:r>
          </w:p>
        </w:tc>
        <w:tc>
          <w:tcPr>
            <w:tcW w:w="3261" w:type="dxa"/>
            <w:tcBorders>
              <w:top w:val="nil"/>
              <w:left w:val="nil"/>
              <w:bottom w:val="nil"/>
              <w:right w:val="nil"/>
            </w:tcBorders>
          </w:tcPr>
          <w:p w14:paraId="5DDB5036"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374.62 ± 137.40 (99)</w:t>
            </w:r>
          </w:p>
        </w:tc>
      </w:tr>
      <w:tr w:rsidR="00D77977" w:rsidRPr="00734A7D" w14:paraId="509AB945" w14:textId="77777777" w:rsidTr="0055460B">
        <w:trPr>
          <w:trHeight w:val="431"/>
        </w:trPr>
        <w:tc>
          <w:tcPr>
            <w:tcW w:w="2552" w:type="dxa"/>
            <w:tcBorders>
              <w:top w:val="nil"/>
              <w:left w:val="nil"/>
              <w:bottom w:val="nil"/>
              <w:right w:val="nil"/>
            </w:tcBorders>
          </w:tcPr>
          <w:p w14:paraId="5AD85F1F"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CSF p-tau</w:t>
            </w:r>
          </w:p>
        </w:tc>
        <w:tc>
          <w:tcPr>
            <w:tcW w:w="2835" w:type="dxa"/>
            <w:tcBorders>
              <w:top w:val="nil"/>
              <w:left w:val="nil"/>
              <w:bottom w:val="nil"/>
              <w:right w:val="nil"/>
            </w:tcBorders>
          </w:tcPr>
          <w:p w14:paraId="39C60267"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29.54 ± 13.67 (28)</w:t>
            </w:r>
          </w:p>
        </w:tc>
        <w:tc>
          <w:tcPr>
            <w:tcW w:w="2835" w:type="dxa"/>
            <w:tcBorders>
              <w:top w:val="nil"/>
              <w:left w:val="nil"/>
              <w:bottom w:val="nil"/>
              <w:right w:val="nil"/>
            </w:tcBorders>
          </w:tcPr>
          <w:p w14:paraId="7C56F099"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29.85 ± 10.45 (27)</w:t>
            </w:r>
          </w:p>
        </w:tc>
        <w:tc>
          <w:tcPr>
            <w:tcW w:w="2551" w:type="dxa"/>
            <w:tcBorders>
              <w:top w:val="nil"/>
              <w:left w:val="nil"/>
              <w:bottom w:val="nil"/>
              <w:right w:val="nil"/>
            </w:tcBorders>
          </w:tcPr>
          <w:p w14:paraId="2E590CDA"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27.42 ± 11.75 (79)</w:t>
            </w:r>
          </w:p>
        </w:tc>
        <w:tc>
          <w:tcPr>
            <w:tcW w:w="3261" w:type="dxa"/>
            <w:tcBorders>
              <w:top w:val="nil"/>
              <w:left w:val="nil"/>
              <w:bottom w:val="nil"/>
              <w:right w:val="nil"/>
            </w:tcBorders>
          </w:tcPr>
          <w:p w14:paraId="294ED6FF"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37.98 ± 15.92 (99)</w:t>
            </w:r>
          </w:p>
        </w:tc>
      </w:tr>
      <w:tr w:rsidR="00D77977" w:rsidRPr="00734A7D" w14:paraId="2E6C5057" w14:textId="77777777" w:rsidTr="0055460B">
        <w:trPr>
          <w:trHeight w:val="290"/>
        </w:trPr>
        <w:tc>
          <w:tcPr>
            <w:tcW w:w="2552" w:type="dxa"/>
            <w:tcBorders>
              <w:top w:val="nil"/>
              <w:left w:val="nil"/>
              <w:bottom w:val="nil"/>
              <w:right w:val="nil"/>
            </w:tcBorders>
          </w:tcPr>
          <w:p w14:paraId="5AC27497" w14:textId="77777777" w:rsidR="00D77977" w:rsidRPr="00734A7D" w:rsidRDefault="00D77977" w:rsidP="0055460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Global Aβ</w:t>
            </w:r>
          </w:p>
        </w:tc>
        <w:tc>
          <w:tcPr>
            <w:tcW w:w="2835" w:type="dxa"/>
            <w:tcBorders>
              <w:top w:val="nil"/>
              <w:left w:val="nil"/>
              <w:bottom w:val="nil"/>
              <w:right w:val="nil"/>
            </w:tcBorders>
          </w:tcPr>
          <w:p w14:paraId="70FFAD9A"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1.25 ± .19</w:t>
            </w:r>
          </w:p>
        </w:tc>
        <w:tc>
          <w:tcPr>
            <w:tcW w:w="2835" w:type="dxa"/>
            <w:tcBorders>
              <w:top w:val="nil"/>
              <w:left w:val="nil"/>
              <w:bottom w:val="nil"/>
              <w:right w:val="nil"/>
            </w:tcBorders>
          </w:tcPr>
          <w:p w14:paraId="1BB3EA9A"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1.34 ± .18</w:t>
            </w:r>
          </w:p>
        </w:tc>
        <w:tc>
          <w:tcPr>
            <w:tcW w:w="2551" w:type="dxa"/>
            <w:tcBorders>
              <w:top w:val="nil"/>
              <w:left w:val="nil"/>
              <w:bottom w:val="nil"/>
              <w:right w:val="nil"/>
            </w:tcBorders>
          </w:tcPr>
          <w:p w14:paraId="603BE0F2"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1.33 ± .18</w:t>
            </w:r>
          </w:p>
        </w:tc>
        <w:tc>
          <w:tcPr>
            <w:tcW w:w="3261" w:type="dxa"/>
            <w:tcBorders>
              <w:top w:val="nil"/>
              <w:left w:val="nil"/>
              <w:bottom w:val="nil"/>
              <w:right w:val="nil"/>
            </w:tcBorders>
          </w:tcPr>
          <w:p w14:paraId="74319D4C" w14:textId="77777777" w:rsidR="00D77977" w:rsidRPr="00734A7D" w:rsidRDefault="00D77977" w:rsidP="0055460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1.44 ± .16</w:t>
            </w:r>
          </w:p>
        </w:tc>
      </w:tr>
      <w:tr w:rsidR="00D77977" w:rsidRPr="00734A7D" w14:paraId="63F93D9A" w14:textId="77777777" w:rsidTr="0055460B">
        <w:trPr>
          <w:trHeight w:val="290"/>
        </w:trPr>
        <w:tc>
          <w:tcPr>
            <w:tcW w:w="14034" w:type="dxa"/>
            <w:gridSpan w:val="5"/>
            <w:tcBorders>
              <w:top w:val="single" w:sz="4" w:space="0" w:color="auto"/>
              <w:left w:val="nil"/>
              <w:bottom w:val="nil"/>
              <w:right w:val="nil"/>
            </w:tcBorders>
          </w:tcPr>
          <w:p w14:paraId="0C52EA75" w14:textId="17A2D84E" w:rsidR="00D77977" w:rsidRPr="00734A7D" w:rsidRDefault="00D77977" w:rsidP="00CF7220">
            <w:pPr>
              <w:spacing w:line="360" w:lineRule="auto"/>
              <w:rPr>
                <w:rFonts w:ascii="Times New Roman" w:hAnsi="Times New Roman" w:cs="Times New Roman"/>
                <w:sz w:val="24"/>
                <w:szCs w:val="24"/>
              </w:rPr>
            </w:pPr>
            <w:r w:rsidRPr="00734A7D">
              <w:rPr>
                <w:rFonts w:ascii="Times New Roman" w:hAnsi="Times New Roman" w:cs="Times New Roman"/>
                <w:sz w:val="24"/>
                <w:szCs w:val="24"/>
              </w:rPr>
              <w:t>Values are given as mean ± standard deviation. Values in brackets are number of included data</w:t>
            </w:r>
            <w:r w:rsidR="00540B58" w:rsidRPr="00734A7D">
              <w:rPr>
                <w:rFonts w:ascii="Times New Roman" w:hAnsi="Times New Roman" w:cs="Times New Roman"/>
                <w:sz w:val="24"/>
                <w:szCs w:val="24"/>
              </w:rPr>
              <w:t xml:space="preserve"> </w:t>
            </w:r>
            <w:r w:rsidRPr="00734A7D">
              <w:rPr>
                <w:rFonts w:ascii="Times New Roman" w:hAnsi="Times New Roman" w:cs="Times New Roman"/>
                <w:sz w:val="24"/>
                <w:szCs w:val="24"/>
              </w:rPr>
              <w:t>points if data was missing. Abbreviations: APOE4 = Apolipoprotein E4, CN-CN = cognitively normal stable, CN-MCI/AD = cognitively normal progressed to MCI or AD, MCI-MCI = mild cognitive impairment stable, MCI-AD = mild cognitive impairment progressed to AD.</w:t>
            </w:r>
          </w:p>
        </w:tc>
      </w:tr>
    </w:tbl>
    <w:p w14:paraId="6D8E7605" w14:textId="0D528705" w:rsidR="00684084" w:rsidRPr="00734A7D" w:rsidRDefault="00684084"/>
    <w:tbl>
      <w:tblPr>
        <w:tblStyle w:val="Tabellenraster"/>
        <w:tblpPr w:leftFromText="180" w:rightFromText="180" w:vertAnchor="page" w:horzAnchor="margin" w:tblpY="1061"/>
        <w:tblW w:w="13643" w:type="dxa"/>
        <w:tblLayout w:type="fixed"/>
        <w:tblLook w:val="04A0" w:firstRow="1" w:lastRow="0" w:firstColumn="1" w:lastColumn="0" w:noHBand="0" w:noVBand="1"/>
      </w:tblPr>
      <w:tblGrid>
        <w:gridCol w:w="2725"/>
        <w:gridCol w:w="1819"/>
        <w:gridCol w:w="1819"/>
        <w:gridCol w:w="1819"/>
        <w:gridCol w:w="1376"/>
        <w:gridCol w:w="1572"/>
        <w:gridCol w:w="1572"/>
        <w:gridCol w:w="941"/>
      </w:tblGrid>
      <w:tr w:rsidR="002C0297" w:rsidRPr="00734A7D" w14:paraId="0731A902" w14:textId="77777777" w:rsidTr="002C0297">
        <w:trPr>
          <w:trHeight w:val="372"/>
        </w:trPr>
        <w:tc>
          <w:tcPr>
            <w:tcW w:w="13643" w:type="dxa"/>
            <w:gridSpan w:val="8"/>
            <w:tcBorders>
              <w:top w:val="nil"/>
              <w:left w:val="nil"/>
              <w:bottom w:val="single" w:sz="4" w:space="0" w:color="auto"/>
              <w:right w:val="nil"/>
            </w:tcBorders>
          </w:tcPr>
          <w:p w14:paraId="313DC292" w14:textId="77777777" w:rsidR="00890F43" w:rsidRPr="00734A7D" w:rsidRDefault="002C0297" w:rsidP="00CF7220">
            <w:pPr>
              <w:spacing w:line="360" w:lineRule="auto"/>
              <w:rPr>
                <w:rFonts w:ascii="Times New Roman" w:hAnsi="Times New Roman" w:cs="Times New Roman"/>
                <w:sz w:val="24"/>
                <w:szCs w:val="24"/>
              </w:rPr>
            </w:pPr>
            <w:r w:rsidRPr="00734A7D">
              <w:rPr>
                <w:rFonts w:ascii="Times New Roman" w:hAnsi="Times New Roman" w:cs="Times New Roman"/>
                <w:sz w:val="24"/>
                <w:szCs w:val="24"/>
              </w:rPr>
              <w:lastRenderedPageBreak/>
              <w:t>Table 2</w:t>
            </w:r>
          </w:p>
          <w:p w14:paraId="3B24A098" w14:textId="04404904" w:rsidR="002C0297" w:rsidRPr="00734A7D" w:rsidRDefault="002C0297" w:rsidP="00CF7220">
            <w:pPr>
              <w:spacing w:line="360" w:lineRule="auto"/>
              <w:rPr>
                <w:rFonts w:ascii="Times New Roman" w:hAnsi="Times New Roman" w:cs="Times New Roman"/>
                <w:sz w:val="24"/>
                <w:szCs w:val="24"/>
              </w:rPr>
            </w:pPr>
            <w:r w:rsidRPr="00734A7D">
              <w:rPr>
                <w:rFonts w:ascii="Times New Roman" w:eastAsia="Calibri" w:hAnsi="Times New Roman" w:cs="Times New Roman"/>
                <w:sz w:val="24"/>
                <w:szCs w:val="24"/>
              </w:rPr>
              <w:t>Group Differences between CN-CN vs. CN-MCI/AD and MCI-MCI vs. MCI-AD</w:t>
            </w:r>
          </w:p>
        </w:tc>
      </w:tr>
      <w:tr w:rsidR="002C0297" w:rsidRPr="00734A7D" w14:paraId="33541C65" w14:textId="77777777" w:rsidTr="002C0297">
        <w:trPr>
          <w:trHeight w:val="372"/>
        </w:trPr>
        <w:tc>
          <w:tcPr>
            <w:tcW w:w="2725" w:type="dxa"/>
            <w:tcBorders>
              <w:top w:val="single" w:sz="4" w:space="0" w:color="auto"/>
              <w:left w:val="nil"/>
              <w:bottom w:val="single" w:sz="4" w:space="0" w:color="auto"/>
              <w:right w:val="nil"/>
            </w:tcBorders>
          </w:tcPr>
          <w:p w14:paraId="172D77A3" w14:textId="77777777" w:rsidR="002C0297" w:rsidRPr="00734A7D" w:rsidRDefault="002C0297" w:rsidP="002C0297">
            <w:pPr>
              <w:spacing w:line="480" w:lineRule="auto"/>
              <w:rPr>
                <w:rFonts w:ascii="Times New Roman" w:hAnsi="Times New Roman" w:cs="Times New Roman"/>
                <w:sz w:val="24"/>
                <w:szCs w:val="24"/>
              </w:rPr>
            </w:pPr>
          </w:p>
        </w:tc>
        <w:tc>
          <w:tcPr>
            <w:tcW w:w="1819" w:type="dxa"/>
            <w:tcBorders>
              <w:top w:val="single" w:sz="4" w:space="0" w:color="auto"/>
              <w:left w:val="nil"/>
              <w:bottom w:val="single" w:sz="4" w:space="0" w:color="auto"/>
              <w:right w:val="nil"/>
            </w:tcBorders>
          </w:tcPr>
          <w:p w14:paraId="46536DC0"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b/>
                <w:bCs/>
                <w:sz w:val="24"/>
                <w:szCs w:val="24"/>
              </w:rPr>
              <w:t>Mean Rank</w:t>
            </w:r>
          </w:p>
        </w:tc>
        <w:tc>
          <w:tcPr>
            <w:tcW w:w="1819" w:type="dxa"/>
            <w:tcBorders>
              <w:top w:val="single" w:sz="4" w:space="0" w:color="auto"/>
              <w:left w:val="nil"/>
              <w:bottom w:val="single" w:sz="4" w:space="0" w:color="auto"/>
              <w:right w:val="nil"/>
            </w:tcBorders>
          </w:tcPr>
          <w:p w14:paraId="09A627CF"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b/>
                <w:bCs/>
                <w:i/>
                <w:iCs/>
                <w:sz w:val="24"/>
                <w:szCs w:val="24"/>
              </w:rPr>
              <w:t>n</w:t>
            </w:r>
          </w:p>
        </w:tc>
        <w:tc>
          <w:tcPr>
            <w:tcW w:w="1819" w:type="dxa"/>
            <w:tcBorders>
              <w:top w:val="single" w:sz="4" w:space="0" w:color="auto"/>
              <w:left w:val="nil"/>
              <w:bottom w:val="single" w:sz="4" w:space="0" w:color="auto"/>
              <w:right w:val="nil"/>
            </w:tcBorders>
          </w:tcPr>
          <w:p w14:paraId="4651E77F"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b/>
                <w:bCs/>
                <w:sz w:val="24"/>
                <w:szCs w:val="24"/>
              </w:rPr>
              <w:t>Mean Rank</w:t>
            </w:r>
          </w:p>
        </w:tc>
        <w:tc>
          <w:tcPr>
            <w:tcW w:w="1376" w:type="dxa"/>
            <w:tcBorders>
              <w:top w:val="single" w:sz="4" w:space="0" w:color="auto"/>
              <w:left w:val="nil"/>
              <w:bottom w:val="single" w:sz="4" w:space="0" w:color="auto"/>
              <w:right w:val="nil"/>
            </w:tcBorders>
          </w:tcPr>
          <w:p w14:paraId="4F2ACEEC"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b/>
                <w:bCs/>
                <w:i/>
                <w:iCs/>
                <w:sz w:val="24"/>
                <w:szCs w:val="24"/>
              </w:rPr>
              <w:t>n</w:t>
            </w:r>
          </w:p>
        </w:tc>
        <w:tc>
          <w:tcPr>
            <w:tcW w:w="1572" w:type="dxa"/>
            <w:tcBorders>
              <w:top w:val="single" w:sz="4" w:space="0" w:color="auto"/>
              <w:left w:val="nil"/>
              <w:bottom w:val="single" w:sz="4" w:space="0" w:color="auto"/>
              <w:right w:val="nil"/>
            </w:tcBorders>
          </w:tcPr>
          <w:p w14:paraId="38512121" w14:textId="77777777" w:rsidR="002C0297" w:rsidRPr="00734A7D" w:rsidRDefault="002C0297" w:rsidP="002C0297">
            <w:pPr>
              <w:spacing w:line="480" w:lineRule="auto"/>
              <w:jc w:val="center"/>
              <w:rPr>
                <w:rFonts w:ascii="Times New Roman" w:eastAsia="Calibri" w:hAnsi="Times New Roman" w:cs="Times New Roman"/>
                <w:b/>
                <w:bCs/>
                <w:i/>
                <w:iCs/>
                <w:sz w:val="24"/>
                <w:szCs w:val="24"/>
              </w:rPr>
            </w:pPr>
            <w:r w:rsidRPr="00734A7D">
              <w:rPr>
                <w:rFonts w:ascii="Times New Roman" w:eastAsia="Calibri" w:hAnsi="Times New Roman" w:cs="Times New Roman"/>
                <w:b/>
                <w:bCs/>
                <w:i/>
                <w:iCs/>
                <w:sz w:val="24"/>
                <w:szCs w:val="24"/>
              </w:rPr>
              <w:t>U / X</w:t>
            </w:r>
            <w:r w:rsidRPr="00734A7D">
              <w:rPr>
                <w:rFonts w:ascii="Times New Roman" w:eastAsia="Calibri" w:hAnsi="Times New Roman" w:cs="Times New Roman"/>
                <w:b/>
                <w:bCs/>
                <w:i/>
                <w:iCs/>
                <w:sz w:val="24"/>
                <w:szCs w:val="24"/>
                <w:vertAlign w:val="superscript"/>
              </w:rPr>
              <w:t>2</w:t>
            </w:r>
          </w:p>
        </w:tc>
        <w:tc>
          <w:tcPr>
            <w:tcW w:w="1572" w:type="dxa"/>
            <w:tcBorders>
              <w:top w:val="single" w:sz="4" w:space="0" w:color="auto"/>
              <w:left w:val="nil"/>
              <w:bottom w:val="single" w:sz="4" w:space="0" w:color="auto"/>
              <w:right w:val="nil"/>
            </w:tcBorders>
          </w:tcPr>
          <w:p w14:paraId="1B70D053"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b/>
                <w:bCs/>
                <w:i/>
                <w:iCs/>
                <w:sz w:val="24"/>
                <w:szCs w:val="24"/>
              </w:rPr>
              <w:t>Z</w:t>
            </w:r>
          </w:p>
        </w:tc>
        <w:tc>
          <w:tcPr>
            <w:tcW w:w="941" w:type="dxa"/>
            <w:tcBorders>
              <w:top w:val="single" w:sz="4" w:space="0" w:color="auto"/>
              <w:left w:val="nil"/>
              <w:bottom w:val="single" w:sz="4" w:space="0" w:color="auto"/>
              <w:right w:val="nil"/>
            </w:tcBorders>
          </w:tcPr>
          <w:p w14:paraId="51F4B1C1"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Cambria Math" w:hAnsi="Cambria Math" w:cs="Cambria Math"/>
                <w:b/>
                <w:bCs/>
                <w:sz w:val="24"/>
                <w:szCs w:val="24"/>
              </w:rPr>
              <w:t>𝜂</w:t>
            </w:r>
            <w:r w:rsidRPr="00734A7D">
              <w:rPr>
                <w:rFonts w:ascii="Times New Roman" w:eastAsia="Calibri" w:hAnsi="Times New Roman" w:cs="Times New Roman"/>
                <w:b/>
                <w:bCs/>
                <w:i/>
                <w:iCs/>
                <w:sz w:val="24"/>
                <w:szCs w:val="24"/>
              </w:rPr>
              <w:t>²</w:t>
            </w:r>
          </w:p>
        </w:tc>
      </w:tr>
      <w:tr w:rsidR="002C0297" w:rsidRPr="00734A7D" w14:paraId="016623BD" w14:textId="77777777" w:rsidTr="002C0297">
        <w:trPr>
          <w:trHeight w:val="372"/>
        </w:trPr>
        <w:tc>
          <w:tcPr>
            <w:tcW w:w="2725" w:type="dxa"/>
            <w:tcBorders>
              <w:top w:val="single" w:sz="4" w:space="0" w:color="auto"/>
              <w:left w:val="nil"/>
              <w:bottom w:val="nil"/>
              <w:right w:val="nil"/>
            </w:tcBorders>
            <w:vAlign w:val="center"/>
          </w:tcPr>
          <w:p w14:paraId="3CD21C05" w14:textId="77777777" w:rsidR="002C0297" w:rsidRPr="00734A7D" w:rsidRDefault="002C0297" w:rsidP="002C0297">
            <w:pPr>
              <w:spacing w:line="480" w:lineRule="auto"/>
              <w:rPr>
                <w:rFonts w:ascii="Times New Roman" w:hAnsi="Times New Roman" w:cs="Times New Roman"/>
                <w:sz w:val="24"/>
                <w:szCs w:val="24"/>
              </w:rPr>
            </w:pPr>
          </w:p>
        </w:tc>
        <w:tc>
          <w:tcPr>
            <w:tcW w:w="3638" w:type="dxa"/>
            <w:gridSpan w:val="2"/>
            <w:tcBorders>
              <w:top w:val="single" w:sz="4" w:space="0" w:color="auto"/>
              <w:left w:val="nil"/>
              <w:bottom w:val="single" w:sz="4" w:space="0" w:color="auto"/>
              <w:right w:val="nil"/>
            </w:tcBorders>
          </w:tcPr>
          <w:p w14:paraId="6389B0AC" w14:textId="77777777" w:rsidR="002C0297" w:rsidRPr="00734A7D" w:rsidRDefault="002C0297" w:rsidP="002C0297">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CN-CN</w:t>
            </w:r>
          </w:p>
        </w:tc>
        <w:tc>
          <w:tcPr>
            <w:tcW w:w="3195" w:type="dxa"/>
            <w:gridSpan w:val="2"/>
            <w:tcBorders>
              <w:top w:val="single" w:sz="4" w:space="0" w:color="auto"/>
              <w:left w:val="nil"/>
              <w:bottom w:val="single" w:sz="4" w:space="0" w:color="auto"/>
              <w:right w:val="nil"/>
            </w:tcBorders>
            <w:vAlign w:val="center"/>
          </w:tcPr>
          <w:p w14:paraId="344BB3EA" w14:textId="77777777" w:rsidR="002C0297" w:rsidRPr="00734A7D" w:rsidRDefault="002C0297" w:rsidP="002C0297">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CN-MCI/AD</w:t>
            </w:r>
          </w:p>
        </w:tc>
        <w:tc>
          <w:tcPr>
            <w:tcW w:w="1572" w:type="dxa"/>
            <w:tcBorders>
              <w:top w:val="single" w:sz="4" w:space="0" w:color="auto"/>
              <w:left w:val="nil"/>
              <w:bottom w:val="nil"/>
              <w:right w:val="nil"/>
            </w:tcBorders>
          </w:tcPr>
          <w:p w14:paraId="5741F465" w14:textId="77777777" w:rsidR="002C0297" w:rsidRPr="00734A7D" w:rsidRDefault="002C0297" w:rsidP="002C0297">
            <w:pPr>
              <w:spacing w:line="480" w:lineRule="auto"/>
              <w:rPr>
                <w:rFonts w:ascii="Times New Roman" w:hAnsi="Times New Roman" w:cs="Times New Roman"/>
                <w:sz w:val="24"/>
                <w:szCs w:val="24"/>
              </w:rPr>
            </w:pPr>
          </w:p>
        </w:tc>
        <w:tc>
          <w:tcPr>
            <w:tcW w:w="1572" w:type="dxa"/>
            <w:tcBorders>
              <w:top w:val="single" w:sz="4" w:space="0" w:color="auto"/>
              <w:left w:val="nil"/>
              <w:bottom w:val="nil"/>
              <w:right w:val="nil"/>
            </w:tcBorders>
          </w:tcPr>
          <w:p w14:paraId="18499F1C" w14:textId="77777777" w:rsidR="002C0297" w:rsidRPr="00734A7D" w:rsidRDefault="002C0297" w:rsidP="002C0297">
            <w:pPr>
              <w:spacing w:line="480" w:lineRule="auto"/>
              <w:rPr>
                <w:rFonts w:ascii="Times New Roman" w:hAnsi="Times New Roman" w:cs="Times New Roman"/>
                <w:sz w:val="24"/>
                <w:szCs w:val="24"/>
              </w:rPr>
            </w:pPr>
          </w:p>
        </w:tc>
        <w:tc>
          <w:tcPr>
            <w:tcW w:w="941" w:type="dxa"/>
            <w:tcBorders>
              <w:top w:val="single" w:sz="4" w:space="0" w:color="auto"/>
              <w:left w:val="nil"/>
              <w:bottom w:val="nil"/>
              <w:right w:val="nil"/>
            </w:tcBorders>
          </w:tcPr>
          <w:p w14:paraId="5B69B589" w14:textId="77777777" w:rsidR="002C0297" w:rsidRPr="00734A7D" w:rsidRDefault="002C0297" w:rsidP="002C0297">
            <w:pPr>
              <w:spacing w:line="480" w:lineRule="auto"/>
              <w:rPr>
                <w:rFonts w:ascii="Times New Roman" w:hAnsi="Times New Roman" w:cs="Times New Roman"/>
                <w:sz w:val="24"/>
                <w:szCs w:val="24"/>
              </w:rPr>
            </w:pPr>
          </w:p>
        </w:tc>
      </w:tr>
      <w:tr w:rsidR="002C0297" w:rsidRPr="00734A7D" w14:paraId="16F6AA0C" w14:textId="77777777" w:rsidTr="002C0297">
        <w:trPr>
          <w:trHeight w:val="466"/>
        </w:trPr>
        <w:tc>
          <w:tcPr>
            <w:tcW w:w="2725" w:type="dxa"/>
            <w:tcBorders>
              <w:top w:val="nil"/>
              <w:left w:val="nil"/>
              <w:bottom w:val="nil"/>
              <w:right w:val="nil"/>
            </w:tcBorders>
            <w:vAlign w:val="center"/>
          </w:tcPr>
          <w:p w14:paraId="4675AA67" w14:textId="77777777" w:rsidR="002C0297" w:rsidRPr="00734A7D" w:rsidRDefault="002C0297" w:rsidP="002C0297">
            <w:pPr>
              <w:spacing w:line="480" w:lineRule="auto"/>
              <w:rPr>
                <w:rFonts w:ascii="Times New Roman" w:hAnsi="Times New Roman" w:cs="Times New Roman"/>
                <w:sz w:val="24"/>
                <w:szCs w:val="24"/>
              </w:rPr>
            </w:pPr>
            <w:r w:rsidRPr="00734A7D">
              <w:rPr>
                <w:rFonts w:ascii="Times New Roman" w:eastAsia="Calibri" w:hAnsi="Times New Roman" w:cs="Times New Roman"/>
                <w:b/>
                <w:bCs/>
                <w:sz w:val="24"/>
                <w:szCs w:val="24"/>
              </w:rPr>
              <w:t>Months being stable</w:t>
            </w:r>
          </w:p>
        </w:tc>
        <w:tc>
          <w:tcPr>
            <w:tcW w:w="1819" w:type="dxa"/>
            <w:tcBorders>
              <w:top w:val="single" w:sz="4" w:space="0" w:color="auto"/>
              <w:left w:val="nil"/>
              <w:bottom w:val="nil"/>
              <w:right w:val="nil"/>
            </w:tcBorders>
          </w:tcPr>
          <w:p w14:paraId="2B1719B9"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47.21</w:t>
            </w:r>
          </w:p>
        </w:tc>
        <w:tc>
          <w:tcPr>
            <w:tcW w:w="1819" w:type="dxa"/>
            <w:tcBorders>
              <w:top w:val="single" w:sz="4" w:space="0" w:color="auto"/>
              <w:left w:val="nil"/>
              <w:bottom w:val="nil"/>
              <w:right w:val="nil"/>
            </w:tcBorders>
          </w:tcPr>
          <w:p w14:paraId="30428727"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38</w:t>
            </w:r>
          </w:p>
        </w:tc>
        <w:tc>
          <w:tcPr>
            <w:tcW w:w="1819" w:type="dxa"/>
            <w:tcBorders>
              <w:top w:val="single" w:sz="4" w:space="0" w:color="auto"/>
              <w:left w:val="nil"/>
              <w:bottom w:val="nil"/>
              <w:right w:val="nil"/>
            </w:tcBorders>
          </w:tcPr>
          <w:p w14:paraId="0347BECF"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29.79</w:t>
            </w:r>
          </w:p>
        </w:tc>
        <w:tc>
          <w:tcPr>
            <w:tcW w:w="1376" w:type="dxa"/>
            <w:tcBorders>
              <w:top w:val="single" w:sz="4" w:space="0" w:color="auto"/>
              <w:left w:val="nil"/>
              <w:bottom w:val="nil"/>
              <w:right w:val="nil"/>
            </w:tcBorders>
          </w:tcPr>
          <w:p w14:paraId="726FC44B"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38</w:t>
            </w:r>
          </w:p>
        </w:tc>
        <w:tc>
          <w:tcPr>
            <w:tcW w:w="1572" w:type="dxa"/>
            <w:tcBorders>
              <w:top w:val="nil"/>
              <w:left w:val="nil"/>
              <w:bottom w:val="nil"/>
              <w:right w:val="nil"/>
            </w:tcBorders>
          </w:tcPr>
          <w:p w14:paraId="44CA5AD3"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391.000**</w:t>
            </w:r>
          </w:p>
        </w:tc>
        <w:tc>
          <w:tcPr>
            <w:tcW w:w="1572" w:type="dxa"/>
            <w:tcBorders>
              <w:top w:val="nil"/>
              <w:left w:val="nil"/>
              <w:bottom w:val="nil"/>
              <w:right w:val="nil"/>
            </w:tcBorders>
          </w:tcPr>
          <w:p w14:paraId="220B1883"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-3.495</w:t>
            </w:r>
          </w:p>
        </w:tc>
        <w:tc>
          <w:tcPr>
            <w:tcW w:w="941" w:type="dxa"/>
            <w:tcBorders>
              <w:top w:val="nil"/>
              <w:left w:val="nil"/>
              <w:bottom w:val="nil"/>
              <w:right w:val="nil"/>
            </w:tcBorders>
          </w:tcPr>
          <w:p w14:paraId="1EB8147C"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-.83</w:t>
            </w:r>
          </w:p>
        </w:tc>
      </w:tr>
      <w:tr w:rsidR="002C0297" w:rsidRPr="00734A7D" w14:paraId="3C80F529" w14:textId="77777777" w:rsidTr="002C0297">
        <w:trPr>
          <w:trHeight w:val="365"/>
        </w:trPr>
        <w:tc>
          <w:tcPr>
            <w:tcW w:w="2725" w:type="dxa"/>
            <w:tcBorders>
              <w:top w:val="nil"/>
              <w:left w:val="nil"/>
              <w:bottom w:val="nil"/>
              <w:right w:val="nil"/>
            </w:tcBorders>
            <w:vAlign w:val="center"/>
          </w:tcPr>
          <w:p w14:paraId="0FE64F67" w14:textId="77777777" w:rsidR="002C0297" w:rsidRPr="00734A7D" w:rsidRDefault="002C0297" w:rsidP="002C0297">
            <w:pPr>
              <w:spacing w:line="480" w:lineRule="auto"/>
              <w:rPr>
                <w:rFonts w:ascii="Times New Roman" w:hAnsi="Times New Roman" w:cs="Times New Roman"/>
                <w:sz w:val="24"/>
                <w:szCs w:val="24"/>
              </w:rPr>
            </w:pPr>
            <w:r w:rsidRPr="00734A7D">
              <w:rPr>
                <w:rFonts w:ascii="Times New Roman" w:eastAsia="Calibri" w:hAnsi="Times New Roman" w:cs="Times New Roman"/>
                <w:b/>
                <w:bCs/>
                <w:sz w:val="24"/>
                <w:szCs w:val="24"/>
              </w:rPr>
              <w:t>Global Aβ</w:t>
            </w:r>
          </w:p>
        </w:tc>
        <w:tc>
          <w:tcPr>
            <w:tcW w:w="1819" w:type="dxa"/>
            <w:tcBorders>
              <w:top w:val="nil"/>
              <w:left w:val="nil"/>
              <w:bottom w:val="nil"/>
              <w:right w:val="nil"/>
            </w:tcBorders>
          </w:tcPr>
          <w:p w14:paraId="1180C902"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sz w:val="24"/>
                <w:szCs w:val="24"/>
              </w:rPr>
              <w:t>31.87</w:t>
            </w:r>
          </w:p>
        </w:tc>
        <w:tc>
          <w:tcPr>
            <w:tcW w:w="1819" w:type="dxa"/>
            <w:tcBorders>
              <w:top w:val="nil"/>
              <w:left w:val="nil"/>
              <w:bottom w:val="nil"/>
              <w:right w:val="nil"/>
            </w:tcBorders>
          </w:tcPr>
          <w:p w14:paraId="14AC1A1C"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lang w:val="de-DE"/>
              </w:rPr>
              <w:t>38</w:t>
            </w:r>
          </w:p>
        </w:tc>
        <w:tc>
          <w:tcPr>
            <w:tcW w:w="1819" w:type="dxa"/>
            <w:tcBorders>
              <w:top w:val="nil"/>
              <w:left w:val="nil"/>
              <w:bottom w:val="nil"/>
              <w:right w:val="nil"/>
            </w:tcBorders>
          </w:tcPr>
          <w:p w14:paraId="2972697B"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sz w:val="24"/>
                <w:szCs w:val="24"/>
              </w:rPr>
              <w:t>45.13</w:t>
            </w:r>
          </w:p>
        </w:tc>
        <w:tc>
          <w:tcPr>
            <w:tcW w:w="1376" w:type="dxa"/>
            <w:tcBorders>
              <w:top w:val="nil"/>
              <w:left w:val="nil"/>
              <w:bottom w:val="nil"/>
              <w:right w:val="nil"/>
            </w:tcBorders>
          </w:tcPr>
          <w:p w14:paraId="25456E33"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38</w:t>
            </w:r>
          </w:p>
        </w:tc>
        <w:tc>
          <w:tcPr>
            <w:tcW w:w="1572" w:type="dxa"/>
            <w:tcBorders>
              <w:top w:val="nil"/>
              <w:left w:val="nil"/>
              <w:bottom w:val="nil"/>
              <w:right w:val="nil"/>
            </w:tcBorders>
          </w:tcPr>
          <w:p w14:paraId="73A15E2F"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sz w:val="24"/>
                <w:szCs w:val="24"/>
              </w:rPr>
              <w:t>470.000*</w:t>
            </w:r>
          </w:p>
        </w:tc>
        <w:tc>
          <w:tcPr>
            <w:tcW w:w="1572" w:type="dxa"/>
            <w:tcBorders>
              <w:top w:val="nil"/>
              <w:left w:val="nil"/>
              <w:bottom w:val="nil"/>
              <w:right w:val="nil"/>
            </w:tcBorders>
          </w:tcPr>
          <w:p w14:paraId="10A7321B"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-2.618</w:t>
            </w:r>
          </w:p>
        </w:tc>
        <w:tc>
          <w:tcPr>
            <w:tcW w:w="941" w:type="dxa"/>
            <w:tcBorders>
              <w:top w:val="nil"/>
              <w:left w:val="nil"/>
              <w:bottom w:val="nil"/>
              <w:right w:val="nil"/>
            </w:tcBorders>
          </w:tcPr>
          <w:p w14:paraId="7939E130"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-.90</w:t>
            </w:r>
          </w:p>
        </w:tc>
      </w:tr>
      <w:tr w:rsidR="002C0297" w:rsidRPr="00734A7D" w14:paraId="673C83B5" w14:textId="77777777" w:rsidTr="002C0297">
        <w:trPr>
          <w:trHeight w:val="372"/>
        </w:trPr>
        <w:tc>
          <w:tcPr>
            <w:tcW w:w="2725" w:type="dxa"/>
            <w:tcBorders>
              <w:top w:val="nil"/>
              <w:left w:val="nil"/>
              <w:bottom w:val="nil"/>
              <w:right w:val="nil"/>
            </w:tcBorders>
            <w:vAlign w:val="center"/>
          </w:tcPr>
          <w:p w14:paraId="3A49F026" w14:textId="77777777" w:rsidR="002C0297" w:rsidRPr="00734A7D" w:rsidRDefault="002C0297" w:rsidP="002C0297">
            <w:pPr>
              <w:spacing w:line="480" w:lineRule="auto"/>
              <w:rPr>
                <w:rFonts w:ascii="Times New Roman" w:hAnsi="Times New Roman" w:cs="Times New Roman"/>
                <w:sz w:val="24"/>
                <w:szCs w:val="24"/>
              </w:rPr>
            </w:pPr>
            <w:r w:rsidRPr="00734A7D">
              <w:rPr>
                <w:rFonts w:ascii="Times New Roman" w:eastAsia="Calibri" w:hAnsi="Times New Roman" w:cs="Times New Roman"/>
                <w:b/>
                <w:bCs/>
                <w:sz w:val="24"/>
                <w:szCs w:val="24"/>
              </w:rPr>
              <w:t>APOE4 (+/-)</w:t>
            </w:r>
          </w:p>
        </w:tc>
        <w:tc>
          <w:tcPr>
            <w:tcW w:w="1819" w:type="dxa"/>
            <w:tcBorders>
              <w:top w:val="nil"/>
              <w:left w:val="nil"/>
              <w:bottom w:val="single" w:sz="4" w:space="0" w:color="auto"/>
              <w:right w:val="nil"/>
            </w:tcBorders>
          </w:tcPr>
          <w:p w14:paraId="418EBBDE"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sz w:val="24"/>
                <w:szCs w:val="24"/>
              </w:rPr>
              <w:t>-</w:t>
            </w:r>
          </w:p>
        </w:tc>
        <w:tc>
          <w:tcPr>
            <w:tcW w:w="1819" w:type="dxa"/>
            <w:tcBorders>
              <w:top w:val="nil"/>
              <w:left w:val="nil"/>
              <w:bottom w:val="single" w:sz="4" w:space="0" w:color="auto"/>
              <w:right w:val="nil"/>
            </w:tcBorders>
          </w:tcPr>
          <w:p w14:paraId="1BCA1A3A"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lang w:val="de-DE"/>
              </w:rPr>
              <w:t>8/30</w:t>
            </w:r>
          </w:p>
        </w:tc>
        <w:tc>
          <w:tcPr>
            <w:tcW w:w="1819" w:type="dxa"/>
            <w:tcBorders>
              <w:top w:val="nil"/>
              <w:left w:val="nil"/>
              <w:bottom w:val="single" w:sz="4" w:space="0" w:color="auto"/>
              <w:right w:val="nil"/>
            </w:tcBorders>
          </w:tcPr>
          <w:p w14:paraId="335CF019"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sz w:val="24"/>
                <w:szCs w:val="24"/>
              </w:rPr>
              <w:t>-</w:t>
            </w:r>
          </w:p>
        </w:tc>
        <w:tc>
          <w:tcPr>
            <w:tcW w:w="1376" w:type="dxa"/>
            <w:tcBorders>
              <w:top w:val="nil"/>
              <w:left w:val="nil"/>
              <w:bottom w:val="single" w:sz="4" w:space="0" w:color="auto"/>
              <w:right w:val="nil"/>
            </w:tcBorders>
          </w:tcPr>
          <w:p w14:paraId="0F73BE6F"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21/17</w:t>
            </w:r>
          </w:p>
        </w:tc>
        <w:tc>
          <w:tcPr>
            <w:tcW w:w="1572" w:type="dxa"/>
            <w:tcBorders>
              <w:top w:val="nil"/>
              <w:left w:val="nil"/>
              <w:bottom w:val="nil"/>
              <w:right w:val="nil"/>
            </w:tcBorders>
          </w:tcPr>
          <w:p w14:paraId="665D6983"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sz w:val="24"/>
                <w:szCs w:val="24"/>
              </w:rPr>
              <w:t>9.432*</w:t>
            </w:r>
          </w:p>
        </w:tc>
        <w:tc>
          <w:tcPr>
            <w:tcW w:w="1572" w:type="dxa"/>
            <w:tcBorders>
              <w:top w:val="nil"/>
              <w:left w:val="nil"/>
              <w:bottom w:val="nil"/>
              <w:right w:val="nil"/>
            </w:tcBorders>
          </w:tcPr>
          <w:p w14:paraId="28A5A17B"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c>
          <w:tcPr>
            <w:tcW w:w="941" w:type="dxa"/>
            <w:tcBorders>
              <w:top w:val="nil"/>
              <w:left w:val="nil"/>
              <w:bottom w:val="nil"/>
              <w:right w:val="nil"/>
            </w:tcBorders>
          </w:tcPr>
          <w:p w14:paraId="7530ABD2"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r>
      <w:tr w:rsidR="002C0297" w:rsidRPr="00734A7D" w14:paraId="0495C912" w14:textId="77777777" w:rsidTr="002C0297">
        <w:trPr>
          <w:trHeight w:val="372"/>
        </w:trPr>
        <w:tc>
          <w:tcPr>
            <w:tcW w:w="2725" w:type="dxa"/>
            <w:tcBorders>
              <w:top w:val="nil"/>
              <w:left w:val="nil"/>
              <w:bottom w:val="nil"/>
              <w:right w:val="nil"/>
            </w:tcBorders>
          </w:tcPr>
          <w:p w14:paraId="1795B0AA" w14:textId="77777777" w:rsidR="002C0297" w:rsidRPr="00734A7D" w:rsidRDefault="002C0297" w:rsidP="002C0297">
            <w:pPr>
              <w:spacing w:line="480" w:lineRule="auto"/>
              <w:rPr>
                <w:rFonts w:ascii="Times New Roman" w:hAnsi="Times New Roman" w:cs="Times New Roman"/>
                <w:sz w:val="24"/>
                <w:szCs w:val="24"/>
              </w:rPr>
            </w:pPr>
          </w:p>
        </w:tc>
        <w:tc>
          <w:tcPr>
            <w:tcW w:w="3638" w:type="dxa"/>
            <w:gridSpan w:val="2"/>
            <w:tcBorders>
              <w:top w:val="single" w:sz="4" w:space="0" w:color="auto"/>
              <w:left w:val="nil"/>
              <w:bottom w:val="single" w:sz="4" w:space="0" w:color="auto"/>
              <w:right w:val="nil"/>
            </w:tcBorders>
          </w:tcPr>
          <w:p w14:paraId="64A7318A" w14:textId="77777777" w:rsidR="002C0297" w:rsidRPr="00734A7D" w:rsidRDefault="002C0297" w:rsidP="002C0297">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MCI-MCI</w:t>
            </w:r>
          </w:p>
        </w:tc>
        <w:tc>
          <w:tcPr>
            <w:tcW w:w="3195" w:type="dxa"/>
            <w:gridSpan w:val="2"/>
            <w:tcBorders>
              <w:top w:val="single" w:sz="4" w:space="0" w:color="auto"/>
              <w:left w:val="nil"/>
              <w:bottom w:val="single" w:sz="4" w:space="0" w:color="auto"/>
              <w:right w:val="nil"/>
            </w:tcBorders>
          </w:tcPr>
          <w:p w14:paraId="7D24556B" w14:textId="77777777" w:rsidR="002C0297" w:rsidRPr="00734A7D" w:rsidRDefault="002C0297" w:rsidP="002C0297">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MCI-AD</w:t>
            </w:r>
          </w:p>
        </w:tc>
        <w:tc>
          <w:tcPr>
            <w:tcW w:w="1572" w:type="dxa"/>
            <w:tcBorders>
              <w:top w:val="nil"/>
              <w:left w:val="nil"/>
              <w:bottom w:val="nil"/>
              <w:right w:val="nil"/>
            </w:tcBorders>
          </w:tcPr>
          <w:p w14:paraId="75EDE55A" w14:textId="77777777" w:rsidR="002C0297" w:rsidRPr="00734A7D" w:rsidRDefault="002C0297" w:rsidP="002C0297">
            <w:pPr>
              <w:spacing w:line="480" w:lineRule="auto"/>
              <w:rPr>
                <w:rFonts w:ascii="Times New Roman" w:hAnsi="Times New Roman" w:cs="Times New Roman"/>
                <w:sz w:val="24"/>
                <w:szCs w:val="24"/>
              </w:rPr>
            </w:pPr>
          </w:p>
        </w:tc>
        <w:tc>
          <w:tcPr>
            <w:tcW w:w="1572" w:type="dxa"/>
            <w:tcBorders>
              <w:top w:val="nil"/>
              <w:left w:val="nil"/>
              <w:bottom w:val="nil"/>
              <w:right w:val="nil"/>
            </w:tcBorders>
          </w:tcPr>
          <w:p w14:paraId="428494B9" w14:textId="77777777" w:rsidR="002C0297" w:rsidRPr="00734A7D" w:rsidRDefault="002C0297" w:rsidP="002C0297">
            <w:pPr>
              <w:spacing w:line="480" w:lineRule="auto"/>
              <w:rPr>
                <w:rFonts w:ascii="Times New Roman" w:hAnsi="Times New Roman" w:cs="Times New Roman"/>
                <w:sz w:val="24"/>
                <w:szCs w:val="24"/>
              </w:rPr>
            </w:pPr>
          </w:p>
        </w:tc>
        <w:tc>
          <w:tcPr>
            <w:tcW w:w="941" w:type="dxa"/>
            <w:tcBorders>
              <w:top w:val="nil"/>
              <w:left w:val="nil"/>
              <w:bottom w:val="nil"/>
              <w:right w:val="nil"/>
            </w:tcBorders>
          </w:tcPr>
          <w:p w14:paraId="734A4DC1" w14:textId="77777777" w:rsidR="002C0297" w:rsidRPr="00734A7D" w:rsidRDefault="002C0297" w:rsidP="002C0297">
            <w:pPr>
              <w:spacing w:line="480" w:lineRule="auto"/>
              <w:rPr>
                <w:rFonts w:ascii="Times New Roman" w:hAnsi="Times New Roman" w:cs="Times New Roman"/>
                <w:sz w:val="24"/>
                <w:szCs w:val="24"/>
              </w:rPr>
            </w:pPr>
          </w:p>
        </w:tc>
      </w:tr>
      <w:tr w:rsidR="002C0297" w:rsidRPr="00734A7D" w14:paraId="72DA0E47" w14:textId="77777777" w:rsidTr="002C0297">
        <w:trPr>
          <w:trHeight w:val="365"/>
        </w:trPr>
        <w:tc>
          <w:tcPr>
            <w:tcW w:w="2725" w:type="dxa"/>
            <w:tcBorders>
              <w:top w:val="nil"/>
              <w:left w:val="nil"/>
              <w:bottom w:val="nil"/>
              <w:right w:val="nil"/>
            </w:tcBorders>
            <w:vAlign w:val="center"/>
          </w:tcPr>
          <w:p w14:paraId="014F7702" w14:textId="77777777" w:rsidR="002C0297" w:rsidRPr="00734A7D" w:rsidRDefault="002C0297" w:rsidP="002C0297">
            <w:pPr>
              <w:spacing w:line="480" w:lineRule="auto"/>
              <w:rPr>
                <w:rFonts w:ascii="Times New Roman" w:hAnsi="Times New Roman" w:cs="Times New Roman"/>
                <w:sz w:val="24"/>
                <w:szCs w:val="24"/>
              </w:rPr>
            </w:pPr>
            <w:r w:rsidRPr="00734A7D">
              <w:rPr>
                <w:rFonts w:ascii="Times New Roman" w:eastAsia="Calibri" w:hAnsi="Times New Roman" w:cs="Times New Roman"/>
                <w:b/>
                <w:bCs/>
                <w:sz w:val="24"/>
                <w:szCs w:val="24"/>
              </w:rPr>
              <w:t>Months being stable</w:t>
            </w:r>
          </w:p>
        </w:tc>
        <w:tc>
          <w:tcPr>
            <w:tcW w:w="1819" w:type="dxa"/>
            <w:tcBorders>
              <w:top w:val="single" w:sz="4" w:space="0" w:color="auto"/>
              <w:left w:val="nil"/>
              <w:bottom w:val="nil"/>
              <w:right w:val="nil"/>
            </w:tcBorders>
          </w:tcPr>
          <w:p w14:paraId="6095356E"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125.06</w:t>
            </w:r>
          </w:p>
        </w:tc>
        <w:tc>
          <w:tcPr>
            <w:tcW w:w="1819" w:type="dxa"/>
            <w:tcBorders>
              <w:top w:val="single" w:sz="4" w:space="0" w:color="auto"/>
              <w:left w:val="nil"/>
              <w:bottom w:val="nil"/>
              <w:right w:val="nil"/>
            </w:tcBorders>
          </w:tcPr>
          <w:p w14:paraId="572FB585"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104</w:t>
            </w:r>
          </w:p>
        </w:tc>
        <w:tc>
          <w:tcPr>
            <w:tcW w:w="1819" w:type="dxa"/>
            <w:tcBorders>
              <w:top w:val="single" w:sz="4" w:space="0" w:color="auto"/>
              <w:left w:val="nil"/>
              <w:bottom w:val="nil"/>
              <w:right w:val="nil"/>
            </w:tcBorders>
          </w:tcPr>
          <w:p w14:paraId="5C539E95"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83.94</w:t>
            </w:r>
          </w:p>
        </w:tc>
        <w:tc>
          <w:tcPr>
            <w:tcW w:w="1376" w:type="dxa"/>
            <w:tcBorders>
              <w:top w:val="single" w:sz="4" w:space="0" w:color="auto"/>
              <w:left w:val="nil"/>
              <w:bottom w:val="nil"/>
              <w:right w:val="nil"/>
            </w:tcBorders>
          </w:tcPr>
          <w:p w14:paraId="0EF7B038"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104</w:t>
            </w:r>
          </w:p>
        </w:tc>
        <w:tc>
          <w:tcPr>
            <w:tcW w:w="1572" w:type="dxa"/>
            <w:tcBorders>
              <w:top w:val="nil"/>
              <w:left w:val="nil"/>
              <w:bottom w:val="nil"/>
              <w:right w:val="nil"/>
            </w:tcBorders>
          </w:tcPr>
          <w:p w14:paraId="4F301202"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3269.500**</w:t>
            </w:r>
          </w:p>
        </w:tc>
        <w:tc>
          <w:tcPr>
            <w:tcW w:w="1572" w:type="dxa"/>
            <w:tcBorders>
              <w:top w:val="nil"/>
              <w:left w:val="nil"/>
              <w:bottom w:val="nil"/>
              <w:right w:val="nil"/>
            </w:tcBorders>
          </w:tcPr>
          <w:p w14:paraId="022FC360"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-4.992</w:t>
            </w:r>
          </w:p>
        </w:tc>
        <w:tc>
          <w:tcPr>
            <w:tcW w:w="941" w:type="dxa"/>
            <w:tcBorders>
              <w:top w:val="nil"/>
              <w:left w:val="nil"/>
              <w:bottom w:val="nil"/>
              <w:right w:val="nil"/>
            </w:tcBorders>
          </w:tcPr>
          <w:p w14:paraId="7D66FBE2"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-.88</w:t>
            </w:r>
          </w:p>
        </w:tc>
      </w:tr>
      <w:tr w:rsidR="002C0297" w:rsidRPr="00734A7D" w14:paraId="1254B810" w14:textId="77777777" w:rsidTr="002C0297">
        <w:trPr>
          <w:trHeight w:val="372"/>
        </w:trPr>
        <w:tc>
          <w:tcPr>
            <w:tcW w:w="2725" w:type="dxa"/>
            <w:tcBorders>
              <w:top w:val="nil"/>
              <w:left w:val="nil"/>
              <w:bottom w:val="nil"/>
              <w:right w:val="nil"/>
            </w:tcBorders>
            <w:vAlign w:val="center"/>
          </w:tcPr>
          <w:p w14:paraId="3262B068" w14:textId="77777777" w:rsidR="002C0297" w:rsidRPr="00734A7D" w:rsidRDefault="002C0297" w:rsidP="002C0297">
            <w:pPr>
              <w:spacing w:line="480" w:lineRule="auto"/>
              <w:rPr>
                <w:rFonts w:ascii="Times New Roman" w:eastAsia="Calibri" w:hAnsi="Times New Roman" w:cs="Times New Roman"/>
                <w:b/>
                <w:bCs/>
                <w:sz w:val="24"/>
                <w:szCs w:val="24"/>
              </w:rPr>
            </w:pPr>
            <w:r w:rsidRPr="00734A7D">
              <w:rPr>
                <w:rFonts w:ascii="Times New Roman" w:eastAsia="Calibri" w:hAnsi="Times New Roman" w:cs="Times New Roman"/>
                <w:b/>
                <w:bCs/>
                <w:sz w:val="24"/>
                <w:szCs w:val="24"/>
              </w:rPr>
              <w:t>Global Aβ</w:t>
            </w:r>
          </w:p>
        </w:tc>
        <w:tc>
          <w:tcPr>
            <w:tcW w:w="1819" w:type="dxa"/>
            <w:tcBorders>
              <w:top w:val="nil"/>
              <w:left w:val="nil"/>
              <w:bottom w:val="nil"/>
              <w:right w:val="nil"/>
            </w:tcBorders>
          </w:tcPr>
          <w:p w14:paraId="0F164DF1"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sz w:val="24"/>
                <w:szCs w:val="24"/>
              </w:rPr>
              <w:t>83.56</w:t>
            </w:r>
          </w:p>
        </w:tc>
        <w:tc>
          <w:tcPr>
            <w:tcW w:w="1819" w:type="dxa"/>
            <w:tcBorders>
              <w:top w:val="nil"/>
              <w:left w:val="nil"/>
              <w:bottom w:val="nil"/>
              <w:right w:val="nil"/>
            </w:tcBorders>
          </w:tcPr>
          <w:p w14:paraId="65B8C6F4"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lang w:val="de-DE"/>
              </w:rPr>
              <w:t>104</w:t>
            </w:r>
          </w:p>
        </w:tc>
        <w:tc>
          <w:tcPr>
            <w:tcW w:w="1819" w:type="dxa"/>
            <w:tcBorders>
              <w:top w:val="nil"/>
              <w:left w:val="nil"/>
              <w:bottom w:val="nil"/>
              <w:right w:val="nil"/>
            </w:tcBorders>
          </w:tcPr>
          <w:p w14:paraId="7CB56584"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eastAsia="Calibri" w:hAnsi="Times New Roman" w:cs="Times New Roman"/>
                <w:sz w:val="24"/>
                <w:szCs w:val="24"/>
              </w:rPr>
              <w:t>125.44</w:t>
            </w:r>
          </w:p>
        </w:tc>
        <w:tc>
          <w:tcPr>
            <w:tcW w:w="1376" w:type="dxa"/>
            <w:tcBorders>
              <w:top w:val="nil"/>
              <w:left w:val="nil"/>
              <w:bottom w:val="nil"/>
              <w:right w:val="nil"/>
            </w:tcBorders>
          </w:tcPr>
          <w:p w14:paraId="560461DA"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104</w:t>
            </w:r>
          </w:p>
        </w:tc>
        <w:tc>
          <w:tcPr>
            <w:tcW w:w="1572" w:type="dxa"/>
            <w:tcBorders>
              <w:top w:val="nil"/>
              <w:left w:val="nil"/>
              <w:bottom w:val="nil"/>
              <w:right w:val="nil"/>
            </w:tcBorders>
            <w:vAlign w:val="center"/>
          </w:tcPr>
          <w:p w14:paraId="012ACD6D"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3230.000**</w:t>
            </w:r>
          </w:p>
        </w:tc>
        <w:tc>
          <w:tcPr>
            <w:tcW w:w="1572" w:type="dxa"/>
            <w:tcBorders>
              <w:top w:val="nil"/>
              <w:left w:val="nil"/>
              <w:bottom w:val="nil"/>
              <w:right w:val="nil"/>
            </w:tcBorders>
          </w:tcPr>
          <w:p w14:paraId="62179148"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-5.018</w:t>
            </w:r>
          </w:p>
        </w:tc>
        <w:tc>
          <w:tcPr>
            <w:tcW w:w="941" w:type="dxa"/>
            <w:tcBorders>
              <w:top w:val="nil"/>
              <w:left w:val="nil"/>
              <w:bottom w:val="nil"/>
              <w:right w:val="nil"/>
            </w:tcBorders>
          </w:tcPr>
          <w:p w14:paraId="3D2D6A53"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-.87</w:t>
            </w:r>
          </w:p>
        </w:tc>
      </w:tr>
      <w:tr w:rsidR="002C0297" w:rsidRPr="00734A7D" w14:paraId="08AC493E" w14:textId="77777777" w:rsidTr="002C0297">
        <w:trPr>
          <w:trHeight w:val="372"/>
        </w:trPr>
        <w:tc>
          <w:tcPr>
            <w:tcW w:w="2725" w:type="dxa"/>
            <w:tcBorders>
              <w:top w:val="nil"/>
              <w:left w:val="nil"/>
              <w:bottom w:val="nil"/>
              <w:right w:val="nil"/>
            </w:tcBorders>
            <w:vAlign w:val="center"/>
          </w:tcPr>
          <w:p w14:paraId="57260358" w14:textId="77777777" w:rsidR="002C0297" w:rsidRPr="00734A7D" w:rsidRDefault="002C0297" w:rsidP="002C0297">
            <w:pPr>
              <w:spacing w:line="480" w:lineRule="auto"/>
              <w:rPr>
                <w:rFonts w:ascii="Times New Roman" w:eastAsia="Calibri" w:hAnsi="Times New Roman" w:cs="Times New Roman"/>
                <w:b/>
                <w:bCs/>
                <w:sz w:val="24"/>
                <w:szCs w:val="24"/>
              </w:rPr>
            </w:pPr>
            <w:r w:rsidRPr="00734A7D">
              <w:rPr>
                <w:rFonts w:ascii="Times New Roman" w:eastAsia="Calibri" w:hAnsi="Times New Roman" w:cs="Times New Roman"/>
                <w:b/>
                <w:bCs/>
                <w:sz w:val="24"/>
                <w:szCs w:val="24"/>
              </w:rPr>
              <w:t>CSF Aβ</w:t>
            </w:r>
          </w:p>
        </w:tc>
        <w:tc>
          <w:tcPr>
            <w:tcW w:w="1819" w:type="dxa"/>
            <w:tcBorders>
              <w:top w:val="nil"/>
              <w:left w:val="nil"/>
              <w:bottom w:val="nil"/>
              <w:right w:val="nil"/>
            </w:tcBorders>
          </w:tcPr>
          <w:p w14:paraId="685B3663" w14:textId="77777777" w:rsidR="002C0297" w:rsidRPr="00734A7D" w:rsidRDefault="002C0297" w:rsidP="002C0297">
            <w:pPr>
              <w:spacing w:line="480" w:lineRule="auto"/>
              <w:jc w:val="center"/>
              <w:rPr>
                <w:rFonts w:ascii="Times New Roman" w:eastAsia="Calibri" w:hAnsi="Times New Roman" w:cs="Times New Roman"/>
                <w:sz w:val="24"/>
                <w:szCs w:val="24"/>
              </w:rPr>
            </w:pPr>
            <w:r w:rsidRPr="00734A7D">
              <w:rPr>
                <w:rFonts w:ascii="Times New Roman" w:eastAsia="Calibri" w:hAnsi="Times New Roman" w:cs="Times New Roman"/>
                <w:sz w:val="24"/>
                <w:szCs w:val="24"/>
              </w:rPr>
              <w:t>100.01</w:t>
            </w:r>
          </w:p>
        </w:tc>
        <w:tc>
          <w:tcPr>
            <w:tcW w:w="1819" w:type="dxa"/>
            <w:tcBorders>
              <w:top w:val="nil"/>
              <w:left w:val="nil"/>
              <w:bottom w:val="nil"/>
              <w:right w:val="nil"/>
            </w:tcBorders>
          </w:tcPr>
          <w:p w14:paraId="0E4251A1" w14:textId="77777777" w:rsidR="002C0297" w:rsidRPr="00734A7D" w:rsidRDefault="002C0297" w:rsidP="002C0297">
            <w:pPr>
              <w:spacing w:line="480" w:lineRule="auto"/>
              <w:jc w:val="center"/>
              <w:rPr>
                <w:rFonts w:ascii="Times New Roman" w:hAnsi="Times New Roman" w:cs="Times New Roman"/>
                <w:sz w:val="24"/>
                <w:szCs w:val="24"/>
                <w:lang w:val="de-DE"/>
              </w:rPr>
            </w:pPr>
            <w:r w:rsidRPr="00734A7D">
              <w:rPr>
                <w:rFonts w:ascii="Times New Roman" w:hAnsi="Times New Roman" w:cs="Times New Roman"/>
                <w:sz w:val="24"/>
                <w:szCs w:val="24"/>
              </w:rPr>
              <w:t>74</w:t>
            </w:r>
          </w:p>
        </w:tc>
        <w:tc>
          <w:tcPr>
            <w:tcW w:w="1819" w:type="dxa"/>
            <w:tcBorders>
              <w:top w:val="nil"/>
              <w:left w:val="nil"/>
              <w:bottom w:val="nil"/>
              <w:right w:val="nil"/>
            </w:tcBorders>
          </w:tcPr>
          <w:p w14:paraId="214242EA" w14:textId="77777777" w:rsidR="002C0297" w:rsidRPr="00734A7D" w:rsidRDefault="002C0297" w:rsidP="002C0297">
            <w:pPr>
              <w:spacing w:line="480" w:lineRule="auto"/>
              <w:jc w:val="center"/>
              <w:rPr>
                <w:rFonts w:ascii="Times New Roman" w:eastAsia="Calibri" w:hAnsi="Times New Roman" w:cs="Times New Roman"/>
                <w:sz w:val="24"/>
                <w:szCs w:val="24"/>
              </w:rPr>
            </w:pPr>
            <w:r w:rsidRPr="00734A7D">
              <w:rPr>
                <w:rFonts w:ascii="Times New Roman" w:hAnsi="Times New Roman" w:cs="Times New Roman"/>
                <w:sz w:val="24"/>
                <w:szCs w:val="24"/>
              </w:rPr>
              <w:t>77.27</w:t>
            </w:r>
          </w:p>
        </w:tc>
        <w:tc>
          <w:tcPr>
            <w:tcW w:w="1376" w:type="dxa"/>
            <w:tcBorders>
              <w:top w:val="nil"/>
              <w:left w:val="nil"/>
              <w:bottom w:val="nil"/>
              <w:right w:val="nil"/>
            </w:tcBorders>
          </w:tcPr>
          <w:p w14:paraId="060DD20B"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99</w:t>
            </w:r>
          </w:p>
        </w:tc>
        <w:tc>
          <w:tcPr>
            <w:tcW w:w="1572" w:type="dxa"/>
            <w:tcBorders>
              <w:top w:val="nil"/>
              <w:left w:val="nil"/>
              <w:bottom w:val="nil"/>
              <w:right w:val="nil"/>
            </w:tcBorders>
            <w:vAlign w:val="center"/>
          </w:tcPr>
          <w:p w14:paraId="5B3FAAF7"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2700.000*</w:t>
            </w:r>
          </w:p>
        </w:tc>
        <w:tc>
          <w:tcPr>
            <w:tcW w:w="1572" w:type="dxa"/>
            <w:tcBorders>
              <w:top w:val="nil"/>
              <w:left w:val="nil"/>
              <w:bottom w:val="nil"/>
              <w:right w:val="nil"/>
            </w:tcBorders>
          </w:tcPr>
          <w:p w14:paraId="348E9DB3"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-2.955</w:t>
            </w:r>
          </w:p>
        </w:tc>
        <w:tc>
          <w:tcPr>
            <w:tcW w:w="941" w:type="dxa"/>
            <w:tcBorders>
              <w:top w:val="nil"/>
              <w:left w:val="nil"/>
              <w:bottom w:val="nil"/>
              <w:right w:val="nil"/>
            </w:tcBorders>
          </w:tcPr>
          <w:p w14:paraId="5E4498F1"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-.85</w:t>
            </w:r>
          </w:p>
        </w:tc>
      </w:tr>
      <w:tr w:rsidR="002C0297" w:rsidRPr="00734A7D" w14:paraId="51D76885" w14:textId="77777777" w:rsidTr="002C0297">
        <w:trPr>
          <w:trHeight w:val="365"/>
        </w:trPr>
        <w:tc>
          <w:tcPr>
            <w:tcW w:w="2725" w:type="dxa"/>
            <w:tcBorders>
              <w:top w:val="nil"/>
              <w:left w:val="nil"/>
              <w:bottom w:val="nil"/>
              <w:right w:val="nil"/>
            </w:tcBorders>
            <w:vAlign w:val="center"/>
          </w:tcPr>
          <w:p w14:paraId="54829462" w14:textId="77777777" w:rsidR="002C0297" w:rsidRPr="00734A7D" w:rsidRDefault="002C0297" w:rsidP="002C0297">
            <w:pPr>
              <w:spacing w:line="480" w:lineRule="auto"/>
              <w:rPr>
                <w:rFonts w:ascii="Times New Roman" w:eastAsia="Calibri" w:hAnsi="Times New Roman" w:cs="Times New Roman"/>
                <w:b/>
                <w:bCs/>
                <w:sz w:val="24"/>
                <w:szCs w:val="24"/>
              </w:rPr>
            </w:pPr>
            <w:r w:rsidRPr="00734A7D">
              <w:rPr>
                <w:rFonts w:ascii="Times New Roman" w:eastAsia="Calibri" w:hAnsi="Times New Roman" w:cs="Times New Roman"/>
                <w:b/>
                <w:bCs/>
                <w:sz w:val="24"/>
                <w:szCs w:val="24"/>
              </w:rPr>
              <w:t>CSF t-tau</w:t>
            </w:r>
          </w:p>
        </w:tc>
        <w:tc>
          <w:tcPr>
            <w:tcW w:w="1819" w:type="dxa"/>
            <w:tcBorders>
              <w:top w:val="nil"/>
              <w:left w:val="nil"/>
              <w:bottom w:val="nil"/>
              <w:right w:val="nil"/>
            </w:tcBorders>
          </w:tcPr>
          <w:p w14:paraId="30834AAB" w14:textId="77777777" w:rsidR="002C0297" w:rsidRPr="00734A7D" w:rsidRDefault="002C0297" w:rsidP="002C0297">
            <w:pPr>
              <w:spacing w:line="480" w:lineRule="auto"/>
              <w:jc w:val="center"/>
              <w:rPr>
                <w:rFonts w:ascii="Times New Roman" w:eastAsia="Calibri" w:hAnsi="Times New Roman" w:cs="Times New Roman"/>
                <w:sz w:val="24"/>
                <w:szCs w:val="24"/>
              </w:rPr>
            </w:pPr>
            <w:r w:rsidRPr="00734A7D">
              <w:rPr>
                <w:rFonts w:ascii="Times New Roman" w:hAnsi="Times New Roman" w:cs="Times New Roman"/>
                <w:sz w:val="24"/>
                <w:szCs w:val="24"/>
              </w:rPr>
              <w:t>69.47</w:t>
            </w:r>
          </w:p>
        </w:tc>
        <w:tc>
          <w:tcPr>
            <w:tcW w:w="1819" w:type="dxa"/>
            <w:tcBorders>
              <w:top w:val="nil"/>
              <w:left w:val="nil"/>
              <w:bottom w:val="nil"/>
              <w:right w:val="nil"/>
            </w:tcBorders>
          </w:tcPr>
          <w:p w14:paraId="37D45E82"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79</w:t>
            </w:r>
          </w:p>
        </w:tc>
        <w:tc>
          <w:tcPr>
            <w:tcW w:w="1819" w:type="dxa"/>
            <w:tcBorders>
              <w:top w:val="nil"/>
              <w:left w:val="nil"/>
              <w:bottom w:val="nil"/>
              <w:right w:val="nil"/>
            </w:tcBorders>
          </w:tcPr>
          <w:p w14:paraId="693A79A4"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105.48</w:t>
            </w:r>
          </w:p>
        </w:tc>
        <w:tc>
          <w:tcPr>
            <w:tcW w:w="1376" w:type="dxa"/>
            <w:tcBorders>
              <w:top w:val="nil"/>
              <w:left w:val="nil"/>
              <w:bottom w:val="nil"/>
              <w:right w:val="nil"/>
            </w:tcBorders>
          </w:tcPr>
          <w:p w14:paraId="03596F4F"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99</w:t>
            </w:r>
          </w:p>
        </w:tc>
        <w:tc>
          <w:tcPr>
            <w:tcW w:w="1572" w:type="dxa"/>
            <w:tcBorders>
              <w:top w:val="nil"/>
              <w:left w:val="nil"/>
              <w:bottom w:val="nil"/>
              <w:right w:val="nil"/>
            </w:tcBorders>
            <w:vAlign w:val="center"/>
          </w:tcPr>
          <w:p w14:paraId="190FDE4D"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2328.500**</w:t>
            </w:r>
          </w:p>
        </w:tc>
        <w:tc>
          <w:tcPr>
            <w:tcW w:w="1572" w:type="dxa"/>
            <w:tcBorders>
              <w:top w:val="nil"/>
              <w:left w:val="nil"/>
              <w:bottom w:val="nil"/>
              <w:right w:val="nil"/>
            </w:tcBorders>
          </w:tcPr>
          <w:p w14:paraId="10CFF715"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-4.632</w:t>
            </w:r>
          </w:p>
        </w:tc>
        <w:tc>
          <w:tcPr>
            <w:tcW w:w="941" w:type="dxa"/>
            <w:tcBorders>
              <w:top w:val="nil"/>
              <w:left w:val="nil"/>
              <w:bottom w:val="nil"/>
              <w:right w:val="nil"/>
            </w:tcBorders>
          </w:tcPr>
          <w:p w14:paraId="1546A292"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-.85</w:t>
            </w:r>
          </w:p>
        </w:tc>
      </w:tr>
      <w:tr w:rsidR="002C0297" w:rsidRPr="00734A7D" w14:paraId="69D6ECBE" w14:textId="77777777" w:rsidTr="002C0297">
        <w:trPr>
          <w:trHeight w:val="372"/>
        </w:trPr>
        <w:tc>
          <w:tcPr>
            <w:tcW w:w="2725" w:type="dxa"/>
            <w:tcBorders>
              <w:top w:val="nil"/>
              <w:left w:val="nil"/>
              <w:bottom w:val="nil"/>
              <w:right w:val="nil"/>
            </w:tcBorders>
            <w:vAlign w:val="center"/>
          </w:tcPr>
          <w:p w14:paraId="4FD199F8" w14:textId="77777777" w:rsidR="002C0297" w:rsidRPr="00734A7D" w:rsidRDefault="002C0297" w:rsidP="002C0297">
            <w:pPr>
              <w:spacing w:line="480" w:lineRule="auto"/>
              <w:rPr>
                <w:rFonts w:ascii="Times New Roman" w:eastAsia="Calibri" w:hAnsi="Times New Roman" w:cs="Times New Roman"/>
                <w:b/>
                <w:bCs/>
                <w:sz w:val="24"/>
                <w:szCs w:val="24"/>
              </w:rPr>
            </w:pPr>
            <w:r w:rsidRPr="00734A7D">
              <w:rPr>
                <w:rFonts w:ascii="Times New Roman" w:eastAsia="Calibri" w:hAnsi="Times New Roman" w:cs="Times New Roman"/>
                <w:b/>
                <w:bCs/>
                <w:sz w:val="24"/>
                <w:szCs w:val="24"/>
              </w:rPr>
              <w:t>CSF p-tau</w:t>
            </w:r>
          </w:p>
        </w:tc>
        <w:tc>
          <w:tcPr>
            <w:tcW w:w="1819" w:type="dxa"/>
            <w:tcBorders>
              <w:top w:val="nil"/>
              <w:left w:val="nil"/>
              <w:bottom w:val="nil"/>
              <w:right w:val="nil"/>
            </w:tcBorders>
          </w:tcPr>
          <w:p w14:paraId="370CAF43"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67.92</w:t>
            </w:r>
          </w:p>
        </w:tc>
        <w:tc>
          <w:tcPr>
            <w:tcW w:w="1819" w:type="dxa"/>
            <w:tcBorders>
              <w:top w:val="nil"/>
              <w:left w:val="nil"/>
              <w:bottom w:val="nil"/>
              <w:right w:val="nil"/>
            </w:tcBorders>
          </w:tcPr>
          <w:p w14:paraId="7CAC73F4"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79</w:t>
            </w:r>
          </w:p>
        </w:tc>
        <w:tc>
          <w:tcPr>
            <w:tcW w:w="1819" w:type="dxa"/>
            <w:tcBorders>
              <w:top w:val="nil"/>
              <w:left w:val="nil"/>
              <w:bottom w:val="nil"/>
              <w:right w:val="nil"/>
            </w:tcBorders>
          </w:tcPr>
          <w:p w14:paraId="7EE956F1"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106.72</w:t>
            </w:r>
          </w:p>
        </w:tc>
        <w:tc>
          <w:tcPr>
            <w:tcW w:w="1376" w:type="dxa"/>
            <w:tcBorders>
              <w:top w:val="nil"/>
              <w:left w:val="nil"/>
              <w:bottom w:val="nil"/>
              <w:right w:val="nil"/>
            </w:tcBorders>
          </w:tcPr>
          <w:p w14:paraId="58B94CC4"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99</w:t>
            </w:r>
          </w:p>
        </w:tc>
        <w:tc>
          <w:tcPr>
            <w:tcW w:w="1572" w:type="dxa"/>
            <w:tcBorders>
              <w:top w:val="nil"/>
              <w:left w:val="nil"/>
              <w:bottom w:val="nil"/>
              <w:right w:val="nil"/>
            </w:tcBorders>
            <w:vAlign w:val="center"/>
          </w:tcPr>
          <w:p w14:paraId="57C2E6B9"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2205.500**</w:t>
            </w:r>
          </w:p>
        </w:tc>
        <w:tc>
          <w:tcPr>
            <w:tcW w:w="1572" w:type="dxa"/>
            <w:tcBorders>
              <w:top w:val="nil"/>
              <w:left w:val="nil"/>
              <w:bottom w:val="nil"/>
              <w:right w:val="nil"/>
            </w:tcBorders>
          </w:tcPr>
          <w:p w14:paraId="6B1A3A25"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-4.992</w:t>
            </w:r>
          </w:p>
        </w:tc>
        <w:tc>
          <w:tcPr>
            <w:tcW w:w="941" w:type="dxa"/>
            <w:tcBorders>
              <w:top w:val="nil"/>
              <w:left w:val="nil"/>
              <w:bottom w:val="nil"/>
              <w:right w:val="nil"/>
            </w:tcBorders>
          </w:tcPr>
          <w:p w14:paraId="68358FB4"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-.95</w:t>
            </w:r>
          </w:p>
        </w:tc>
      </w:tr>
      <w:tr w:rsidR="002C0297" w:rsidRPr="00734A7D" w14:paraId="7EE58E46" w14:textId="77777777" w:rsidTr="002C0297">
        <w:trPr>
          <w:trHeight w:val="372"/>
        </w:trPr>
        <w:tc>
          <w:tcPr>
            <w:tcW w:w="2725" w:type="dxa"/>
            <w:tcBorders>
              <w:top w:val="nil"/>
              <w:left w:val="nil"/>
              <w:bottom w:val="single" w:sz="4" w:space="0" w:color="auto"/>
              <w:right w:val="nil"/>
            </w:tcBorders>
            <w:vAlign w:val="center"/>
          </w:tcPr>
          <w:p w14:paraId="754514A1" w14:textId="77777777" w:rsidR="002C0297" w:rsidRPr="00734A7D" w:rsidRDefault="002C0297" w:rsidP="002C0297">
            <w:pPr>
              <w:spacing w:line="480" w:lineRule="auto"/>
              <w:rPr>
                <w:rFonts w:ascii="Times New Roman" w:eastAsia="Calibri" w:hAnsi="Times New Roman" w:cs="Times New Roman"/>
                <w:b/>
                <w:bCs/>
                <w:sz w:val="24"/>
                <w:szCs w:val="24"/>
              </w:rPr>
            </w:pPr>
            <w:r w:rsidRPr="00734A7D">
              <w:rPr>
                <w:rFonts w:ascii="Times New Roman" w:eastAsia="Calibri" w:hAnsi="Times New Roman" w:cs="Times New Roman"/>
                <w:b/>
                <w:bCs/>
                <w:sz w:val="24"/>
                <w:szCs w:val="24"/>
              </w:rPr>
              <w:t>APOE4 (+/-)</w:t>
            </w:r>
          </w:p>
        </w:tc>
        <w:tc>
          <w:tcPr>
            <w:tcW w:w="1819" w:type="dxa"/>
            <w:tcBorders>
              <w:top w:val="nil"/>
              <w:left w:val="nil"/>
              <w:bottom w:val="single" w:sz="4" w:space="0" w:color="auto"/>
              <w:right w:val="nil"/>
            </w:tcBorders>
          </w:tcPr>
          <w:p w14:paraId="76355BFF"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c>
          <w:tcPr>
            <w:tcW w:w="1819" w:type="dxa"/>
            <w:tcBorders>
              <w:top w:val="nil"/>
              <w:left w:val="nil"/>
              <w:bottom w:val="single" w:sz="4" w:space="0" w:color="auto"/>
              <w:right w:val="nil"/>
            </w:tcBorders>
          </w:tcPr>
          <w:p w14:paraId="78173B0C"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63/41</w:t>
            </w:r>
          </w:p>
        </w:tc>
        <w:tc>
          <w:tcPr>
            <w:tcW w:w="1819" w:type="dxa"/>
            <w:tcBorders>
              <w:top w:val="nil"/>
              <w:left w:val="nil"/>
              <w:bottom w:val="single" w:sz="4" w:space="0" w:color="auto"/>
              <w:right w:val="nil"/>
            </w:tcBorders>
          </w:tcPr>
          <w:p w14:paraId="2E412D7A"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c>
          <w:tcPr>
            <w:tcW w:w="1376" w:type="dxa"/>
            <w:tcBorders>
              <w:top w:val="nil"/>
              <w:left w:val="nil"/>
              <w:bottom w:val="single" w:sz="4" w:space="0" w:color="auto"/>
              <w:right w:val="nil"/>
            </w:tcBorders>
          </w:tcPr>
          <w:p w14:paraId="157A6D60"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78/26</w:t>
            </w:r>
          </w:p>
        </w:tc>
        <w:tc>
          <w:tcPr>
            <w:tcW w:w="1572" w:type="dxa"/>
            <w:tcBorders>
              <w:top w:val="nil"/>
              <w:left w:val="nil"/>
              <w:bottom w:val="single" w:sz="4" w:space="0" w:color="auto"/>
              <w:right w:val="nil"/>
            </w:tcBorders>
            <w:vAlign w:val="center"/>
          </w:tcPr>
          <w:p w14:paraId="14C2BD5E"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4.954*</w:t>
            </w:r>
          </w:p>
        </w:tc>
        <w:tc>
          <w:tcPr>
            <w:tcW w:w="1572" w:type="dxa"/>
            <w:tcBorders>
              <w:top w:val="nil"/>
              <w:left w:val="nil"/>
              <w:bottom w:val="single" w:sz="4" w:space="0" w:color="auto"/>
              <w:right w:val="nil"/>
            </w:tcBorders>
          </w:tcPr>
          <w:p w14:paraId="0DE76930"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c>
          <w:tcPr>
            <w:tcW w:w="941" w:type="dxa"/>
            <w:tcBorders>
              <w:top w:val="nil"/>
              <w:left w:val="nil"/>
              <w:bottom w:val="single" w:sz="4" w:space="0" w:color="auto"/>
              <w:right w:val="nil"/>
            </w:tcBorders>
          </w:tcPr>
          <w:p w14:paraId="01BB0619" w14:textId="77777777" w:rsidR="002C0297" w:rsidRPr="00734A7D" w:rsidRDefault="002C0297" w:rsidP="002C0297">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r>
    </w:tbl>
    <w:p w14:paraId="36AE14F4" w14:textId="1885C9D6" w:rsidR="001C0228" w:rsidRPr="00734A7D" w:rsidRDefault="00196481" w:rsidP="00CF7220">
      <w:pPr>
        <w:spacing w:line="360" w:lineRule="auto"/>
        <w:sectPr w:rsidR="001C0228" w:rsidRPr="00734A7D" w:rsidSect="00684084">
          <w:pgSz w:w="16838" w:h="11906" w:orient="landscape"/>
          <w:pgMar w:top="1440" w:right="1440" w:bottom="1440" w:left="1440" w:header="708" w:footer="708" w:gutter="0"/>
          <w:cols w:space="708"/>
          <w:docGrid w:linePitch="360"/>
        </w:sectPr>
      </w:pPr>
      <w:r w:rsidRPr="00734A7D">
        <w:rPr>
          <w:rFonts w:ascii="Times New Roman" w:eastAsia="Calibri" w:hAnsi="Times New Roman" w:cs="Times New Roman"/>
          <w:bCs/>
          <w:sz w:val="24"/>
          <w:szCs w:val="24"/>
        </w:rPr>
        <w:t xml:space="preserve">Mann-Whitney-U-Tests and Pearson-Chi Square-Tests for CN-CN vs. CN-MCI/AD, and MCI-MCI vs. MCI-AD groups. Data showing non-significant associations was omitted from the table. </w:t>
      </w:r>
      <w:r w:rsidRPr="00734A7D">
        <w:rPr>
          <w:rFonts w:ascii="Times New Roman" w:eastAsia="Calibri" w:hAnsi="Times New Roman" w:cs="Times New Roman"/>
          <w:sz w:val="24"/>
          <w:szCs w:val="24"/>
        </w:rPr>
        <w:t>*</w:t>
      </w:r>
      <w:r w:rsidRPr="00734A7D">
        <w:rPr>
          <w:rFonts w:ascii="Times New Roman" w:eastAsia="Calibri" w:hAnsi="Times New Roman" w:cs="Times New Roman"/>
          <w:i/>
          <w:iCs/>
          <w:sz w:val="24"/>
          <w:szCs w:val="24"/>
        </w:rPr>
        <w:t>p</w:t>
      </w:r>
      <w:r w:rsidRPr="00734A7D">
        <w:rPr>
          <w:rFonts w:ascii="Times New Roman" w:eastAsia="Calibri" w:hAnsi="Times New Roman" w:cs="Times New Roman"/>
          <w:sz w:val="24"/>
          <w:szCs w:val="24"/>
        </w:rPr>
        <w:t xml:space="preserve"> &lt; .05; **</w:t>
      </w:r>
      <w:r w:rsidRPr="00734A7D">
        <w:rPr>
          <w:rFonts w:ascii="Times New Roman" w:eastAsia="Calibri" w:hAnsi="Times New Roman" w:cs="Times New Roman"/>
          <w:i/>
          <w:iCs/>
          <w:sz w:val="24"/>
          <w:szCs w:val="24"/>
        </w:rPr>
        <w:t>p</w:t>
      </w:r>
      <w:r w:rsidRPr="00734A7D">
        <w:rPr>
          <w:rFonts w:ascii="Times New Roman" w:eastAsia="Calibri" w:hAnsi="Times New Roman" w:cs="Times New Roman"/>
          <w:sz w:val="24"/>
          <w:szCs w:val="24"/>
        </w:rPr>
        <w:t xml:space="preserve"> &lt; .001. </w:t>
      </w:r>
      <w:r w:rsidRPr="00734A7D">
        <w:rPr>
          <w:rFonts w:ascii="Times New Roman" w:eastAsia="Calibri" w:hAnsi="Times New Roman" w:cs="Times New Roman"/>
          <w:bCs/>
          <w:sz w:val="24"/>
          <w:szCs w:val="24"/>
        </w:rPr>
        <w:t xml:space="preserve">Abbreviations: APOE4, </w:t>
      </w:r>
      <w:r w:rsidRPr="00734A7D">
        <w:rPr>
          <w:rFonts w:ascii="Times New Roman" w:hAnsi="Times New Roman" w:cs="Times New Roman"/>
          <w:sz w:val="24"/>
          <w:szCs w:val="24"/>
        </w:rPr>
        <w:t xml:space="preserve">Apolipoprotein E4; </w:t>
      </w:r>
      <w:r w:rsidRPr="00734A7D">
        <w:rPr>
          <w:rFonts w:ascii="Times New Roman" w:eastAsia="Calibri" w:hAnsi="Times New Roman" w:cs="Times New Roman"/>
          <w:bCs/>
          <w:sz w:val="24"/>
          <w:szCs w:val="24"/>
        </w:rPr>
        <w:t>CN-CN, cognitively normal stable</w:t>
      </w:r>
      <w:r w:rsidRPr="00734A7D">
        <w:rPr>
          <w:rFonts w:ascii="Times New Roman" w:eastAsia="Calibri" w:hAnsi="Times New Roman" w:cs="Times New Roman"/>
          <w:sz w:val="24"/>
          <w:szCs w:val="24"/>
        </w:rPr>
        <w:t>; CN-MCI/AD, cognitively normal</w:t>
      </w:r>
      <w:r w:rsidRPr="00734A7D">
        <w:rPr>
          <w:rFonts w:ascii="Times New Roman" w:hAnsi="Times New Roman" w:cs="Times New Roman"/>
          <w:sz w:val="24"/>
          <w:szCs w:val="24"/>
        </w:rPr>
        <w:t xml:space="preserve"> progressed</w:t>
      </w:r>
      <w:r w:rsidRPr="00734A7D">
        <w:rPr>
          <w:rFonts w:ascii="Times New Roman" w:eastAsia="Calibri" w:hAnsi="Times New Roman" w:cs="Times New Roman"/>
          <w:sz w:val="24"/>
          <w:szCs w:val="24"/>
        </w:rPr>
        <w:t xml:space="preserve"> to MCI or AD; CSF, cerebrospinal fluid; MCI-MCI, mild cognitive impairment stable; MCI-AD, mild cognitive impairment</w:t>
      </w:r>
      <w:r w:rsidRPr="00734A7D">
        <w:rPr>
          <w:rFonts w:ascii="Times New Roman" w:hAnsi="Times New Roman" w:cs="Times New Roman"/>
          <w:sz w:val="24"/>
          <w:szCs w:val="24"/>
        </w:rPr>
        <w:t xml:space="preserve"> progressed</w:t>
      </w:r>
      <w:r w:rsidRPr="00734A7D">
        <w:rPr>
          <w:rFonts w:ascii="Times New Roman" w:eastAsia="Calibri" w:hAnsi="Times New Roman" w:cs="Times New Roman"/>
          <w:sz w:val="24"/>
          <w:szCs w:val="24"/>
        </w:rPr>
        <w:t xml:space="preserve"> to AD; P-tau, Phospho-tau; T-tau, total-tau.</w:t>
      </w:r>
    </w:p>
    <w:tbl>
      <w:tblPr>
        <w:tblStyle w:val="Tabellenraster"/>
        <w:tblpPr w:leftFromText="180" w:rightFromText="180" w:vertAnchor="text" w:horzAnchor="margin" w:tblpXSpec="center" w:tblpY="-379"/>
        <w:tblOverlap w:val="never"/>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551"/>
        <w:gridCol w:w="1985"/>
        <w:gridCol w:w="1276"/>
        <w:gridCol w:w="1134"/>
        <w:gridCol w:w="1275"/>
        <w:gridCol w:w="851"/>
        <w:gridCol w:w="1417"/>
        <w:gridCol w:w="1701"/>
        <w:gridCol w:w="2268"/>
      </w:tblGrid>
      <w:tr w:rsidR="005C747B" w:rsidRPr="00734A7D" w14:paraId="3030C97B" w14:textId="77777777" w:rsidTr="005C747B">
        <w:trPr>
          <w:trHeight w:val="284"/>
        </w:trPr>
        <w:tc>
          <w:tcPr>
            <w:tcW w:w="12474" w:type="dxa"/>
            <w:gridSpan w:val="9"/>
            <w:tcBorders>
              <w:bottom w:val="single" w:sz="4" w:space="0" w:color="auto"/>
            </w:tcBorders>
            <w:vAlign w:val="center"/>
          </w:tcPr>
          <w:p w14:paraId="40D0EC70" w14:textId="77777777" w:rsidR="005C747B" w:rsidRPr="00734A7D" w:rsidRDefault="005C747B" w:rsidP="005C747B">
            <w:pPr>
              <w:spacing w:line="360" w:lineRule="auto"/>
              <w:rPr>
                <w:rFonts w:ascii="Times New Roman" w:hAnsi="Times New Roman" w:cs="Times New Roman"/>
                <w:sz w:val="24"/>
                <w:szCs w:val="24"/>
              </w:rPr>
            </w:pPr>
            <w:r w:rsidRPr="00734A7D">
              <w:rPr>
                <w:rFonts w:ascii="Times New Roman" w:hAnsi="Times New Roman" w:cs="Times New Roman"/>
                <w:sz w:val="24"/>
                <w:szCs w:val="24"/>
              </w:rPr>
              <w:lastRenderedPageBreak/>
              <w:t>Table 3</w:t>
            </w:r>
          </w:p>
          <w:p w14:paraId="2A0B5C0E" w14:textId="77777777" w:rsidR="005C747B" w:rsidRPr="00734A7D" w:rsidRDefault="005C747B" w:rsidP="005C747B">
            <w:pPr>
              <w:spacing w:line="360" w:lineRule="auto"/>
              <w:rPr>
                <w:rFonts w:ascii="Times New Roman" w:hAnsi="Times New Roman" w:cs="Times New Roman"/>
                <w:sz w:val="24"/>
                <w:szCs w:val="24"/>
              </w:rPr>
            </w:pPr>
            <w:r w:rsidRPr="00734A7D">
              <w:rPr>
                <w:rFonts w:ascii="Times New Roman" w:hAnsi="Times New Roman" w:cs="Times New Roman"/>
                <w:sz w:val="24"/>
                <w:szCs w:val="24"/>
              </w:rPr>
              <w:t>Binary Logistic Regression Analysis for Variables Predicting Progression from CN to MCI or AD and from MCI to AD</w:t>
            </w:r>
          </w:p>
        </w:tc>
        <w:tc>
          <w:tcPr>
            <w:tcW w:w="2268" w:type="dxa"/>
            <w:tcBorders>
              <w:bottom w:val="single" w:sz="4" w:space="0" w:color="auto"/>
            </w:tcBorders>
          </w:tcPr>
          <w:p w14:paraId="10D756FC" w14:textId="77777777" w:rsidR="005C747B" w:rsidRPr="00734A7D" w:rsidRDefault="005C747B" w:rsidP="005C747B">
            <w:pPr>
              <w:spacing w:line="480" w:lineRule="auto"/>
              <w:rPr>
                <w:rFonts w:ascii="Times New Roman" w:hAnsi="Times New Roman" w:cs="Times New Roman"/>
                <w:sz w:val="24"/>
                <w:szCs w:val="24"/>
              </w:rPr>
            </w:pPr>
          </w:p>
        </w:tc>
      </w:tr>
      <w:tr w:rsidR="005C747B" w:rsidRPr="00734A7D" w14:paraId="6FC4270C" w14:textId="77777777" w:rsidTr="005C747B">
        <w:trPr>
          <w:gridBefore w:val="1"/>
          <w:wBefore w:w="284" w:type="dxa"/>
          <w:trHeight w:val="428"/>
        </w:trPr>
        <w:tc>
          <w:tcPr>
            <w:tcW w:w="2551" w:type="dxa"/>
            <w:vAlign w:val="center"/>
          </w:tcPr>
          <w:p w14:paraId="5AAE358B" w14:textId="77777777" w:rsidR="005C747B" w:rsidRPr="00734A7D" w:rsidRDefault="005C747B" w:rsidP="005C747B">
            <w:pPr>
              <w:spacing w:line="480" w:lineRule="auto"/>
              <w:rPr>
                <w:rFonts w:ascii="Times New Roman" w:hAnsi="Times New Roman" w:cs="Times New Roman"/>
                <w:sz w:val="24"/>
                <w:szCs w:val="24"/>
              </w:rPr>
            </w:pPr>
          </w:p>
        </w:tc>
        <w:tc>
          <w:tcPr>
            <w:tcW w:w="1985" w:type="dxa"/>
            <w:tcBorders>
              <w:bottom w:val="single" w:sz="4" w:space="0" w:color="auto"/>
            </w:tcBorders>
            <w:vAlign w:val="center"/>
          </w:tcPr>
          <w:p w14:paraId="684908BC" w14:textId="77777777" w:rsidR="005C747B" w:rsidRPr="00734A7D" w:rsidRDefault="005C747B" w:rsidP="005C747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Predictor</w:t>
            </w:r>
          </w:p>
        </w:tc>
        <w:tc>
          <w:tcPr>
            <w:tcW w:w="1276" w:type="dxa"/>
            <w:tcBorders>
              <w:bottom w:val="single" w:sz="4" w:space="0" w:color="auto"/>
            </w:tcBorders>
            <w:vAlign w:val="center"/>
          </w:tcPr>
          <w:p w14:paraId="54E0FC12" w14:textId="77777777" w:rsidR="005C747B" w:rsidRPr="00734A7D" w:rsidRDefault="005C747B" w:rsidP="005C747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β</w:t>
            </w:r>
          </w:p>
        </w:tc>
        <w:tc>
          <w:tcPr>
            <w:tcW w:w="1134" w:type="dxa"/>
            <w:tcBorders>
              <w:bottom w:val="single" w:sz="4" w:space="0" w:color="auto"/>
            </w:tcBorders>
            <w:vAlign w:val="center"/>
          </w:tcPr>
          <w:p w14:paraId="56332E55" w14:textId="77777777" w:rsidR="005C747B" w:rsidRPr="00734A7D" w:rsidRDefault="005C747B" w:rsidP="005C747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SE β</w:t>
            </w:r>
          </w:p>
        </w:tc>
        <w:tc>
          <w:tcPr>
            <w:tcW w:w="1275" w:type="dxa"/>
            <w:tcBorders>
              <w:bottom w:val="single" w:sz="4" w:space="0" w:color="auto"/>
            </w:tcBorders>
            <w:vAlign w:val="center"/>
          </w:tcPr>
          <w:p w14:paraId="04854D06" w14:textId="77777777" w:rsidR="005C747B" w:rsidRPr="00734A7D" w:rsidRDefault="005C747B" w:rsidP="005C747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 xml:space="preserve">Wald’s </w:t>
            </w:r>
            <w:r w:rsidRPr="00734A7D">
              <w:rPr>
                <w:rFonts w:ascii="Times New Roman" w:hAnsi="Times New Roman" w:cs="Times New Roman"/>
                <w:b/>
                <w:bCs/>
                <w:i/>
                <w:iCs/>
                <w:sz w:val="24"/>
                <w:szCs w:val="24"/>
              </w:rPr>
              <w:t>X</w:t>
            </w:r>
            <w:r w:rsidRPr="00734A7D">
              <w:rPr>
                <w:rFonts w:ascii="Times New Roman" w:hAnsi="Times New Roman" w:cs="Times New Roman"/>
                <w:b/>
                <w:bCs/>
                <w:sz w:val="24"/>
                <w:szCs w:val="24"/>
                <w:vertAlign w:val="superscript"/>
              </w:rPr>
              <w:t>2</w:t>
            </w:r>
          </w:p>
        </w:tc>
        <w:tc>
          <w:tcPr>
            <w:tcW w:w="851" w:type="dxa"/>
            <w:tcBorders>
              <w:bottom w:val="single" w:sz="4" w:space="0" w:color="auto"/>
            </w:tcBorders>
            <w:vAlign w:val="center"/>
          </w:tcPr>
          <w:p w14:paraId="08E88001" w14:textId="77777777" w:rsidR="005C747B" w:rsidRPr="00734A7D" w:rsidRDefault="005C747B" w:rsidP="005C747B">
            <w:pPr>
              <w:spacing w:line="480" w:lineRule="auto"/>
              <w:jc w:val="center"/>
              <w:rPr>
                <w:rFonts w:ascii="Times New Roman" w:hAnsi="Times New Roman" w:cs="Times New Roman"/>
                <w:b/>
                <w:bCs/>
                <w:i/>
                <w:iCs/>
                <w:sz w:val="24"/>
                <w:szCs w:val="24"/>
              </w:rPr>
            </w:pPr>
            <w:r w:rsidRPr="00734A7D">
              <w:rPr>
                <w:rFonts w:ascii="Times New Roman" w:hAnsi="Times New Roman" w:cs="Times New Roman"/>
                <w:b/>
                <w:bCs/>
                <w:i/>
                <w:iCs/>
                <w:sz w:val="24"/>
                <w:szCs w:val="24"/>
              </w:rPr>
              <w:t>df</w:t>
            </w:r>
          </w:p>
        </w:tc>
        <w:tc>
          <w:tcPr>
            <w:tcW w:w="1417" w:type="dxa"/>
            <w:tcBorders>
              <w:bottom w:val="single" w:sz="4" w:space="0" w:color="auto"/>
            </w:tcBorders>
            <w:vAlign w:val="center"/>
          </w:tcPr>
          <w:p w14:paraId="5A8348E7" w14:textId="77777777" w:rsidR="005C747B" w:rsidRPr="00734A7D" w:rsidRDefault="005C747B" w:rsidP="005C747B">
            <w:pPr>
              <w:spacing w:line="480" w:lineRule="auto"/>
              <w:jc w:val="center"/>
              <w:rPr>
                <w:rFonts w:ascii="Times New Roman" w:hAnsi="Times New Roman" w:cs="Times New Roman"/>
                <w:b/>
                <w:bCs/>
                <w:i/>
                <w:iCs/>
                <w:sz w:val="24"/>
                <w:szCs w:val="24"/>
              </w:rPr>
            </w:pPr>
            <w:r w:rsidRPr="00734A7D">
              <w:rPr>
                <w:rFonts w:ascii="Times New Roman" w:hAnsi="Times New Roman" w:cs="Times New Roman"/>
                <w:b/>
                <w:bCs/>
                <w:i/>
                <w:iCs/>
                <w:sz w:val="24"/>
                <w:szCs w:val="24"/>
              </w:rPr>
              <w:t>p</w:t>
            </w:r>
          </w:p>
        </w:tc>
        <w:tc>
          <w:tcPr>
            <w:tcW w:w="1701" w:type="dxa"/>
            <w:tcBorders>
              <w:bottom w:val="single" w:sz="4" w:space="0" w:color="auto"/>
            </w:tcBorders>
            <w:vAlign w:val="center"/>
          </w:tcPr>
          <w:p w14:paraId="7990BC00" w14:textId="77777777" w:rsidR="005C747B" w:rsidRPr="00734A7D" w:rsidRDefault="005C747B" w:rsidP="005C747B">
            <w:pPr>
              <w:spacing w:line="480" w:lineRule="auto"/>
              <w:jc w:val="center"/>
              <w:rPr>
                <w:rFonts w:ascii="Times New Roman" w:hAnsi="Times New Roman" w:cs="Times New Roman"/>
                <w:b/>
                <w:bCs/>
                <w:i/>
                <w:iCs/>
                <w:sz w:val="24"/>
                <w:szCs w:val="24"/>
                <w:vertAlign w:val="superscript"/>
              </w:rPr>
            </w:pPr>
            <w:r w:rsidRPr="00734A7D">
              <w:rPr>
                <w:rFonts w:ascii="Times New Roman" w:hAnsi="Times New Roman" w:cs="Times New Roman"/>
                <w:b/>
                <w:bCs/>
                <w:i/>
                <w:iCs/>
                <w:sz w:val="24"/>
                <w:szCs w:val="24"/>
              </w:rPr>
              <w:t>e</w:t>
            </w:r>
            <w:r w:rsidRPr="00734A7D">
              <w:rPr>
                <w:rFonts w:ascii="Times New Roman" w:hAnsi="Times New Roman" w:cs="Times New Roman"/>
                <w:b/>
                <w:bCs/>
                <w:i/>
                <w:iCs/>
                <w:sz w:val="24"/>
                <w:szCs w:val="24"/>
                <w:vertAlign w:val="superscript"/>
              </w:rPr>
              <w:t xml:space="preserve">β </w:t>
            </w:r>
          </w:p>
        </w:tc>
        <w:tc>
          <w:tcPr>
            <w:tcW w:w="2268" w:type="dxa"/>
            <w:tcBorders>
              <w:bottom w:val="single" w:sz="4" w:space="0" w:color="auto"/>
            </w:tcBorders>
          </w:tcPr>
          <w:p w14:paraId="40895665" w14:textId="77777777" w:rsidR="005C747B" w:rsidRPr="00734A7D" w:rsidRDefault="005C747B" w:rsidP="005C747B">
            <w:pPr>
              <w:spacing w:line="480" w:lineRule="auto"/>
              <w:jc w:val="center"/>
              <w:rPr>
                <w:rFonts w:ascii="Times New Roman" w:hAnsi="Times New Roman" w:cs="Times New Roman"/>
                <w:b/>
                <w:bCs/>
                <w:i/>
                <w:iCs/>
                <w:sz w:val="24"/>
                <w:szCs w:val="24"/>
              </w:rPr>
            </w:pPr>
            <w:r w:rsidRPr="00734A7D">
              <w:rPr>
                <w:rFonts w:ascii="Times New Roman" w:hAnsi="Times New Roman" w:cs="Times New Roman"/>
                <w:b/>
                <w:bCs/>
                <w:sz w:val="24"/>
                <w:szCs w:val="24"/>
              </w:rPr>
              <w:t>95% CI</w:t>
            </w:r>
            <w:r w:rsidRPr="00734A7D">
              <w:rPr>
                <w:rFonts w:ascii="Times New Roman" w:hAnsi="Times New Roman" w:cs="Times New Roman"/>
                <w:b/>
                <w:bCs/>
                <w:i/>
                <w:iCs/>
                <w:sz w:val="24"/>
                <w:szCs w:val="24"/>
              </w:rPr>
              <w:t xml:space="preserve">  e</w:t>
            </w:r>
            <w:r w:rsidRPr="00734A7D">
              <w:rPr>
                <w:rFonts w:ascii="Times New Roman" w:hAnsi="Times New Roman" w:cs="Times New Roman"/>
                <w:b/>
                <w:bCs/>
                <w:i/>
                <w:iCs/>
                <w:sz w:val="24"/>
                <w:szCs w:val="24"/>
                <w:vertAlign w:val="superscript"/>
              </w:rPr>
              <w:t>β</w:t>
            </w:r>
          </w:p>
        </w:tc>
      </w:tr>
      <w:tr w:rsidR="005C747B" w:rsidRPr="00734A7D" w14:paraId="5104AA7D" w14:textId="77777777" w:rsidTr="005C747B">
        <w:trPr>
          <w:trHeight w:val="34"/>
        </w:trPr>
        <w:tc>
          <w:tcPr>
            <w:tcW w:w="2835" w:type="dxa"/>
            <w:gridSpan w:val="2"/>
            <w:vMerge w:val="restart"/>
            <w:tcBorders>
              <w:top w:val="single" w:sz="4" w:space="0" w:color="auto"/>
            </w:tcBorders>
            <w:vAlign w:val="center"/>
          </w:tcPr>
          <w:p w14:paraId="531AE6B4" w14:textId="77777777" w:rsidR="005C747B" w:rsidRPr="00734A7D" w:rsidRDefault="005C747B" w:rsidP="005C747B">
            <w:pPr>
              <w:spacing w:line="480" w:lineRule="auto"/>
              <w:rPr>
                <w:rFonts w:ascii="Times New Roman" w:hAnsi="Times New Roman" w:cs="Times New Roman"/>
                <w:sz w:val="24"/>
                <w:szCs w:val="24"/>
              </w:rPr>
            </w:pPr>
            <w:r w:rsidRPr="00734A7D">
              <w:rPr>
                <w:rFonts w:ascii="Times New Roman" w:hAnsi="Times New Roman" w:cs="Times New Roman"/>
                <w:sz w:val="24"/>
                <w:szCs w:val="24"/>
              </w:rPr>
              <w:t>CN-CN vs. CN-MCI/AD</w:t>
            </w:r>
          </w:p>
        </w:tc>
        <w:tc>
          <w:tcPr>
            <w:tcW w:w="1985" w:type="dxa"/>
            <w:tcBorders>
              <w:top w:val="single" w:sz="4" w:space="0" w:color="auto"/>
            </w:tcBorders>
            <w:vAlign w:val="center"/>
          </w:tcPr>
          <w:p w14:paraId="4A115E3B" w14:textId="77777777" w:rsidR="005C747B" w:rsidRPr="00734A7D" w:rsidRDefault="005C747B" w:rsidP="005C747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Constant</w:t>
            </w:r>
          </w:p>
        </w:tc>
        <w:tc>
          <w:tcPr>
            <w:tcW w:w="1276" w:type="dxa"/>
            <w:tcBorders>
              <w:top w:val="single" w:sz="4" w:space="0" w:color="auto"/>
            </w:tcBorders>
            <w:vAlign w:val="center"/>
          </w:tcPr>
          <w:p w14:paraId="1758EB48"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-15.390</w:t>
            </w:r>
          </w:p>
        </w:tc>
        <w:tc>
          <w:tcPr>
            <w:tcW w:w="1134" w:type="dxa"/>
            <w:tcBorders>
              <w:top w:val="single" w:sz="4" w:space="0" w:color="auto"/>
            </w:tcBorders>
            <w:vAlign w:val="center"/>
          </w:tcPr>
          <w:p w14:paraId="4946E792"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7.833</w:t>
            </w:r>
          </w:p>
        </w:tc>
        <w:tc>
          <w:tcPr>
            <w:tcW w:w="1275" w:type="dxa"/>
            <w:tcBorders>
              <w:top w:val="single" w:sz="4" w:space="0" w:color="auto"/>
            </w:tcBorders>
            <w:vAlign w:val="center"/>
          </w:tcPr>
          <w:p w14:paraId="402EB1A4"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3.860</w:t>
            </w:r>
          </w:p>
        </w:tc>
        <w:tc>
          <w:tcPr>
            <w:tcW w:w="851" w:type="dxa"/>
            <w:tcBorders>
              <w:top w:val="single" w:sz="4" w:space="0" w:color="auto"/>
            </w:tcBorders>
            <w:vAlign w:val="center"/>
          </w:tcPr>
          <w:p w14:paraId="5A61C61B"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w:t>
            </w:r>
          </w:p>
        </w:tc>
        <w:tc>
          <w:tcPr>
            <w:tcW w:w="1417" w:type="dxa"/>
            <w:tcBorders>
              <w:top w:val="single" w:sz="4" w:space="0" w:color="auto"/>
            </w:tcBorders>
            <w:vAlign w:val="center"/>
          </w:tcPr>
          <w:p w14:paraId="73F9D85E"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.049</w:t>
            </w:r>
          </w:p>
        </w:tc>
        <w:tc>
          <w:tcPr>
            <w:tcW w:w="1701" w:type="dxa"/>
            <w:tcBorders>
              <w:top w:val="single" w:sz="4" w:space="0" w:color="auto"/>
            </w:tcBorders>
            <w:vAlign w:val="center"/>
          </w:tcPr>
          <w:p w14:paraId="52EE70D4"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.000</w:t>
            </w:r>
          </w:p>
        </w:tc>
        <w:tc>
          <w:tcPr>
            <w:tcW w:w="2268" w:type="dxa"/>
            <w:tcBorders>
              <w:top w:val="single" w:sz="4" w:space="0" w:color="auto"/>
            </w:tcBorders>
          </w:tcPr>
          <w:p w14:paraId="206B5766"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r>
      <w:tr w:rsidR="005C747B" w:rsidRPr="00734A7D" w14:paraId="61DA803F" w14:textId="77777777" w:rsidTr="005C747B">
        <w:trPr>
          <w:trHeight w:val="761"/>
        </w:trPr>
        <w:tc>
          <w:tcPr>
            <w:tcW w:w="2835" w:type="dxa"/>
            <w:gridSpan w:val="2"/>
            <w:vMerge/>
            <w:vAlign w:val="center"/>
          </w:tcPr>
          <w:p w14:paraId="3B0D4D5C" w14:textId="77777777" w:rsidR="005C747B" w:rsidRPr="00734A7D" w:rsidRDefault="005C747B" w:rsidP="005C747B">
            <w:pPr>
              <w:spacing w:line="480" w:lineRule="auto"/>
              <w:rPr>
                <w:rFonts w:ascii="Times New Roman" w:hAnsi="Times New Roman" w:cs="Times New Roman"/>
                <w:sz w:val="24"/>
                <w:szCs w:val="24"/>
              </w:rPr>
            </w:pPr>
          </w:p>
        </w:tc>
        <w:tc>
          <w:tcPr>
            <w:tcW w:w="1985" w:type="dxa"/>
            <w:tcBorders>
              <w:bottom w:val="single" w:sz="4" w:space="0" w:color="auto"/>
            </w:tcBorders>
            <w:vAlign w:val="center"/>
          </w:tcPr>
          <w:p w14:paraId="085D94FF" w14:textId="77777777" w:rsidR="005C747B" w:rsidRPr="00734A7D" w:rsidRDefault="005C747B" w:rsidP="005C747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 xml:space="preserve">Regional </w:t>
            </w:r>
            <w:r w:rsidRPr="00734A7D">
              <w:rPr>
                <w:rFonts w:ascii="Times New Roman" w:eastAsia="Calibri" w:hAnsi="Times New Roman" w:cs="Times New Roman"/>
                <w:b/>
                <w:bCs/>
                <w:sz w:val="24"/>
                <w:szCs w:val="24"/>
              </w:rPr>
              <w:t>Aβ</w:t>
            </w:r>
          </w:p>
        </w:tc>
        <w:tc>
          <w:tcPr>
            <w:tcW w:w="1276" w:type="dxa"/>
            <w:tcBorders>
              <w:bottom w:val="single" w:sz="4" w:space="0" w:color="auto"/>
            </w:tcBorders>
            <w:vAlign w:val="center"/>
          </w:tcPr>
          <w:p w14:paraId="0929B48F"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5.013</w:t>
            </w:r>
          </w:p>
        </w:tc>
        <w:tc>
          <w:tcPr>
            <w:tcW w:w="1134" w:type="dxa"/>
            <w:tcBorders>
              <w:bottom w:val="single" w:sz="4" w:space="0" w:color="auto"/>
            </w:tcBorders>
            <w:vAlign w:val="center"/>
          </w:tcPr>
          <w:p w14:paraId="20009516"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1.865</w:t>
            </w:r>
          </w:p>
        </w:tc>
        <w:tc>
          <w:tcPr>
            <w:tcW w:w="1275" w:type="dxa"/>
            <w:tcBorders>
              <w:bottom w:val="single" w:sz="4" w:space="0" w:color="auto"/>
            </w:tcBorders>
            <w:vAlign w:val="center"/>
          </w:tcPr>
          <w:p w14:paraId="51643D3D"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7.221</w:t>
            </w:r>
          </w:p>
        </w:tc>
        <w:tc>
          <w:tcPr>
            <w:tcW w:w="851" w:type="dxa"/>
            <w:tcBorders>
              <w:bottom w:val="single" w:sz="4" w:space="0" w:color="auto"/>
            </w:tcBorders>
            <w:vAlign w:val="center"/>
          </w:tcPr>
          <w:p w14:paraId="0D8E3B9C"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w:t>
            </w:r>
          </w:p>
        </w:tc>
        <w:tc>
          <w:tcPr>
            <w:tcW w:w="1417" w:type="dxa"/>
            <w:tcBorders>
              <w:bottom w:val="single" w:sz="4" w:space="0" w:color="auto"/>
            </w:tcBorders>
            <w:vAlign w:val="center"/>
          </w:tcPr>
          <w:p w14:paraId="2491791C"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.007</w:t>
            </w:r>
          </w:p>
        </w:tc>
        <w:tc>
          <w:tcPr>
            <w:tcW w:w="1701" w:type="dxa"/>
            <w:tcBorders>
              <w:bottom w:val="single" w:sz="4" w:space="0" w:color="auto"/>
            </w:tcBorders>
            <w:vAlign w:val="center"/>
          </w:tcPr>
          <w:p w14:paraId="7BDFEBCE"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150.333</w:t>
            </w:r>
          </w:p>
        </w:tc>
        <w:tc>
          <w:tcPr>
            <w:tcW w:w="2268" w:type="dxa"/>
            <w:tcBorders>
              <w:bottom w:val="single" w:sz="4" w:space="0" w:color="auto"/>
            </w:tcBorders>
          </w:tcPr>
          <w:p w14:paraId="5866265C"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3.883-5819.865</w:t>
            </w:r>
          </w:p>
        </w:tc>
      </w:tr>
      <w:tr w:rsidR="005C747B" w:rsidRPr="00734A7D" w14:paraId="6CA2C4DB" w14:textId="77777777" w:rsidTr="005C747B">
        <w:trPr>
          <w:trHeight w:val="282"/>
        </w:trPr>
        <w:tc>
          <w:tcPr>
            <w:tcW w:w="2835" w:type="dxa"/>
            <w:gridSpan w:val="2"/>
            <w:vMerge w:val="restart"/>
            <w:vAlign w:val="center"/>
          </w:tcPr>
          <w:p w14:paraId="1676CF26" w14:textId="77777777" w:rsidR="005C747B" w:rsidRPr="00734A7D" w:rsidRDefault="005C747B" w:rsidP="005C747B">
            <w:pPr>
              <w:spacing w:line="480" w:lineRule="auto"/>
              <w:rPr>
                <w:rFonts w:ascii="Times New Roman" w:hAnsi="Times New Roman" w:cs="Times New Roman"/>
                <w:sz w:val="24"/>
                <w:szCs w:val="24"/>
              </w:rPr>
            </w:pPr>
            <w:r w:rsidRPr="00734A7D">
              <w:rPr>
                <w:rFonts w:ascii="Times New Roman" w:hAnsi="Times New Roman" w:cs="Times New Roman"/>
                <w:sz w:val="24"/>
                <w:szCs w:val="24"/>
              </w:rPr>
              <w:t>MCI-MCI vs. MCI-AD</w:t>
            </w:r>
          </w:p>
        </w:tc>
        <w:tc>
          <w:tcPr>
            <w:tcW w:w="1985" w:type="dxa"/>
            <w:tcBorders>
              <w:top w:val="single" w:sz="4" w:space="0" w:color="auto"/>
            </w:tcBorders>
            <w:vAlign w:val="center"/>
          </w:tcPr>
          <w:p w14:paraId="66F5AB9C" w14:textId="77777777" w:rsidR="005C747B" w:rsidRPr="00734A7D" w:rsidRDefault="005C747B" w:rsidP="005C747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Constant</w:t>
            </w:r>
          </w:p>
        </w:tc>
        <w:tc>
          <w:tcPr>
            <w:tcW w:w="1276" w:type="dxa"/>
            <w:tcBorders>
              <w:top w:val="single" w:sz="4" w:space="0" w:color="auto"/>
            </w:tcBorders>
            <w:vAlign w:val="center"/>
          </w:tcPr>
          <w:p w14:paraId="79C57275"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-7.347</w:t>
            </w:r>
          </w:p>
        </w:tc>
        <w:tc>
          <w:tcPr>
            <w:tcW w:w="1134" w:type="dxa"/>
            <w:tcBorders>
              <w:top w:val="single" w:sz="4" w:space="0" w:color="auto"/>
            </w:tcBorders>
            <w:vAlign w:val="center"/>
          </w:tcPr>
          <w:p w14:paraId="26C4FD33"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3.111</w:t>
            </w:r>
          </w:p>
        </w:tc>
        <w:tc>
          <w:tcPr>
            <w:tcW w:w="1275" w:type="dxa"/>
            <w:tcBorders>
              <w:top w:val="single" w:sz="4" w:space="0" w:color="auto"/>
            </w:tcBorders>
            <w:vAlign w:val="center"/>
          </w:tcPr>
          <w:p w14:paraId="6E324964"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5.577</w:t>
            </w:r>
          </w:p>
        </w:tc>
        <w:tc>
          <w:tcPr>
            <w:tcW w:w="851" w:type="dxa"/>
            <w:tcBorders>
              <w:top w:val="single" w:sz="4" w:space="0" w:color="auto"/>
            </w:tcBorders>
            <w:vAlign w:val="center"/>
          </w:tcPr>
          <w:p w14:paraId="1A36868E"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w:t>
            </w:r>
          </w:p>
        </w:tc>
        <w:tc>
          <w:tcPr>
            <w:tcW w:w="1417" w:type="dxa"/>
            <w:tcBorders>
              <w:top w:val="single" w:sz="4" w:space="0" w:color="auto"/>
            </w:tcBorders>
            <w:vAlign w:val="center"/>
          </w:tcPr>
          <w:p w14:paraId="38D4A790"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.018</w:t>
            </w:r>
          </w:p>
        </w:tc>
        <w:tc>
          <w:tcPr>
            <w:tcW w:w="1701" w:type="dxa"/>
            <w:tcBorders>
              <w:top w:val="single" w:sz="4" w:space="0" w:color="auto"/>
            </w:tcBorders>
            <w:vAlign w:val="center"/>
          </w:tcPr>
          <w:p w14:paraId="512D1F12"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.001</w:t>
            </w:r>
          </w:p>
        </w:tc>
        <w:tc>
          <w:tcPr>
            <w:tcW w:w="2268" w:type="dxa"/>
            <w:tcBorders>
              <w:top w:val="single" w:sz="4" w:space="0" w:color="auto"/>
            </w:tcBorders>
          </w:tcPr>
          <w:p w14:paraId="4B0DD49F"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r>
      <w:tr w:rsidR="005C747B" w:rsidRPr="00734A7D" w14:paraId="1B74F513" w14:textId="77777777" w:rsidTr="005C747B">
        <w:trPr>
          <w:trHeight w:val="282"/>
        </w:trPr>
        <w:tc>
          <w:tcPr>
            <w:tcW w:w="2835" w:type="dxa"/>
            <w:gridSpan w:val="2"/>
            <w:vMerge/>
            <w:vAlign w:val="center"/>
          </w:tcPr>
          <w:p w14:paraId="3B66F162" w14:textId="77777777" w:rsidR="005C747B" w:rsidRPr="00734A7D" w:rsidRDefault="005C747B" w:rsidP="005C747B">
            <w:pPr>
              <w:spacing w:line="480" w:lineRule="auto"/>
              <w:rPr>
                <w:rFonts w:ascii="Times New Roman" w:hAnsi="Times New Roman" w:cs="Times New Roman"/>
                <w:sz w:val="24"/>
                <w:szCs w:val="24"/>
              </w:rPr>
            </w:pPr>
          </w:p>
        </w:tc>
        <w:tc>
          <w:tcPr>
            <w:tcW w:w="1985" w:type="dxa"/>
            <w:vAlign w:val="center"/>
          </w:tcPr>
          <w:p w14:paraId="7746FEC3" w14:textId="77777777" w:rsidR="005C747B" w:rsidRPr="00734A7D" w:rsidRDefault="005C747B" w:rsidP="005C747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CSF</w:t>
            </w:r>
            <w:r w:rsidRPr="00734A7D">
              <w:rPr>
                <w:rFonts w:ascii="Times New Roman" w:eastAsia="Calibri" w:hAnsi="Times New Roman" w:cs="Times New Roman"/>
                <w:b/>
                <w:bCs/>
                <w:sz w:val="24"/>
                <w:szCs w:val="24"/>
              </w:rPr>
              <w:t xml:space="preserve"> Aβ</w:t>
            </w:r>
          </w:p>
        </w:tc>
        <w:tc>
          <w:tcPr>
            <w:tcW w:w="1276" w:type="dxa"/>
            <w:vAlign w:val="center"/>
          </w:tcPr>
          <w:p w14:paraId="79A86796"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-.002</w:t>
            </w:r>
          </w:p>
        </w:tc>
        <w:tc>
          <w:tcPr>
            <w:tcW w:w="1134" w:type="dxa"/>
            <w:vAlign w:val="center"/>
          </w:tcPr>
          <w:p w14:paraId="4C9AE34C"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.001</w:t>
            </w:r>
          </w:p>
        </w:tc>
        <w:tc>
          <w:tcPr>
            <w:tcW w:w="1275" w:type="dxa"/>
            <w:vAlign w:val="center"/>
          </w:tcPr>
          <w:p w14:paraId="6D0EB38C"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4.731</w:t>
            </w:r>
          </w:p>
        </w:tc>
        <w:tc>
          <w:tcPr>
            <w:tcW w:w="851" w:type="dxa"/>
            <w:vAlign w:val="center"/>
          </w:tcPr>
          <w:p w14:paraId="680AF300"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w:t>
            </w:r>
          </w:p>
        </w:tc>
        <w:tc>
          <w:tcPr>
            <w:tcW w:w="1417" w:type="dxa"/>
            <w:vAlign w:val="center"/>
          </w:tcPr>
          <w:p w14:paraId="07192BA2"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.030</w:t>
            </w:r>
          </w:p>
        </w:tc>
        <w:tc>
          <w:tcPr>
            <w:tcW w:w="1701" w:type="dxa"/>
            <w:vAlign w:val="center"/>
          </w:tcPr>
          <w:p w14:paraId="6BAB9727"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.998</w:t>
            </w:r>
          </w:p>
        </w:tc>
        <w:tc>
          <w:tcPr>
            <w:tcW w:w="2268" w:type="dxa"/>
          </w:tcPr>
          <w:p w14:paraId="30D2A0F0"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.996-1.000</w:t>
            </w:r>
          </w:p>
        </w:tc>
      </w:tr>
      <w:tr w:rsidR="005C747B" w:rsidRPr="00734A7D" w14:paraId="4BD14F65" w14:textId="77777777" w:rsidTr="005C747B">
        <w:trPr>
          <w:trHeight w:val="282"/>
        </w:trPr>
        <w:tc>
          <w:tcPr>
            <w:tcW w:w="2835" w:type="dxa"/>
            <w:gridSpan w:val="2"/>
            <w:vMerge/>
            <w:tcBorders>
              <w:bottom w:val="single" w:sz="4" w:space="0" w:color="auto"/>
            </w:tcBorders>
            <w:vAlign w:val="center"/>
          </w:tcPr>
          <w:p w14:paraId="70EAA43B" w14:textId="77777777" w:rsidR="005C747B" w:rsidRPr="00734A7D" w:rsidRDefault="005C747B" w:rsidP="005C747B">
            <w:pPr>
              <w:spacing w:line="480" w:lineRule="auto"/>
              <w:rPr>
                <w:rFonts w:ascii="Times New Roman" w:hAnsi="Times New Roman" w:cs="Times New Roman"/>
                <w:sz w:val="24"/>
                <w:szCs w:val="24"/>
              </w:rPr>
            </w:pPr>
          </w:p>
        </w:tc>
        <w:tc>
          <w:tcPr>
            <w:tcW w:w="1985" w:type="dxa"/>
            <w:tcBorders>
              <w:bottom w:val="single" w:sz="4" w:space="0" w:color="auto"/>
            </w:tcBorders>
            <w:vAlign w:val="center"/>
          </w:tcPr>
          <w:p w14:paraId="74AB4C76" w14:textId="77777777" w:rsidR="005C747B" w:rsidRPr="00734A7D" w:rsidRDefault="005C747B" w:rsidP="005C747B">
            <w:pPr>
              <w:spacing w:line="480" w:lineRule="auto"/>
              <w:rPr>
                <w:rFonts w:ascii="Times New Roman" w:hAnsi="Times New Roman" w:cs="Times New Roman"/>
                <w:b/>
                <w:bCs/>
                <w:sz w:val="24"/>
                <w:szCs w:val="24"/>
              </w:rPr>
            </w:pPr>
            <w:r w:rsidRPr="00734A7D">
              <w:rPr>
                <w:rFonts w:ascii="Times New Roman" w:hAnsi="Times New Roman" w:cs="Times New Roman"/>
                <w:b/>
                <w:bCs/>
                <w:sz w:val="24"/>
                <w:szCs w:val="24"/>
              </w:rPr>
              <w:t>Regional</w:t>
            </w:r>
            <w:r w:rsidRPr="00734A7D">
              <w:rPr>
                <w:rFonts w:ascii="Times New Roman" w:eastAsia="Calibri" w:hAnsi="Times New Roman" w:cs="Times New Roman"/>
                <w:sz w:val="24"/>
                <w:szCs w:val="24"/>
              </w:rPr>
              <w:t xml:space="preserve"> </w:t>
            </w:r>
            <w:r w:rsidRPr="00734A7D">
              <w:rPr>
                <w:rFonts w:ascii="Times New Roman" w:eastAsia="Calibri" w:hAnsi="Times New Roman" w:cs="Times New Roman"/>
                <w:b/>
                <w:bCs/>
                <w:sz w:val="24"/>
                <w:szCs w:val="24"/>
              </w:rPr>
              <w:t>Aβ</w:t>
            </w:r>
          </w:p>
        </w:tc>
        <w:tc>
          <w:tcPr>
            <w:tcW w:w="1276" w:type="dxa"/>
            <w:tcBorders>
              <w:bottom w:val="single" w:sz="4" w:space="0" w:color="auto"/>
            </w:tcBorders>
            <w:vAlign w:val="center"/>
          </w:tcPr>
          <w:p w14:paraId="6AA153C2"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9.834</w:t>
            </w:r>
          </w:p>
        </w:tc>
        <w:tc>
          <w:tcPr>
            <w:tcW w:w="1134" w:type="dxa"/>
            <w:tcBorders>
              <w:bottom w:val="single" w:sz="4" w:space="0" w:color="auto"/>
            </w:tcBorders>
            <w:vAlign w:val="center"/>
          </w:tcPr>
          <w:p w14:paraId="4A173449"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3.551</w:t>
            </w:r>
          </w:p>
        </w:tc>
        <w:tc>
          <w:tcPr>
            <w:tcW w:w="1275" w:type="dxa"/>
            <w:tcBorders>
              <w:bottom w:val="single" w:sz="4" w:space="0" w:color="auto"/>
            </w:tcBorders>
            <w:vAlign w:val="center"/>
          </w:tcPr>
          <w:p w14:paraId="773DA331"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7.670</w:t>
            </w:r>
          </w:p>
        </w:tc>
        <w:tc>
          <w:tcPr>
            <w:tcW w:w="851" w:type="dxa"/>
            <w:tcBorders>
              <w:bottom w:val="single" w:sz="4" w:space="0" w:color="auto"/>
            </w:tcBorders>
            <w:vAlign w:val="center"/>
          </w:tcPr>
          <w:p w14:paraId="12AA845E"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w:t>
            </w:r>
          </w:p>
        </w:tc>
        <w:tc>
          <w:tcPr>
            <w:tcW w:w="1417" w:type="dxa"/>
            <w:tcBorders>
              <w:bottom w:val="single" w:sz="4" w:space="0" w:color="auto"/>
            </w:tcBorders>
            <w:vAlign w:val="center"/>
          </w:tcPr>
          <w:p w14:paraId="32A4BD7A"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.006</w:t>
            </w:r>
          </w:p>
        </w:tc>
        <w:tc>
          <w:tcPr>
            <w:tcW w:w="1701" w:type="dxa"/>
            <w:tcBorders>
              <w:bottom w:val="single" w:sz="4" w:space="0" w:color="auto"/>
            </w:tcBorders>
            <w:vAlign w:val="center"/>
          </w:tcPr>
          <w:p w14:paraId="7505B50D"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18650.596</w:t>
            </w:r>
          </w:p>
        </w:tc>
        <w:tc>
          <w:tcPr>
            <w:tcW w:w="2268" w:type="dxa"/>
            <w:tcBorders>
              <w:bottom w:val="single" w:sz="4" w:space="0" w:color="auto"/>
            </w:tcBorders>
          </w:tcPr>
          <w:p w14:paraId="76FFBBB7"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17.711-19640086.2</w:t>
            </w:r>
          </w:p>
        </w:tc>
      </w:tr>
      <w:tr w:rsidR="005C747B" w:rsidRPr="00734A7D" w14:paraId="02748B91" w14:textId="77777777" w:rsidTr="005C747B">
        <w:trPr>
          <w:trHeight w:val="751"/>
        </w:trPr>
        <w:tc>
          <w:tcPr>
            <w:tcW w:w="2835" w:type="dxa"/>
            <w:gridSpan w:val="2"/>
            <w:tcBorders>
              <w:bottom w:val="single" w:sz="4" w:space="0" w:color="auto"/>
            </w:tcBorders>
            <w:vAlign w:val="center"/>
          </w:tcPr>
          <w:p w14:paraId="37DFAF88" w14:textId="77777777" w:rsidR="005C747B" w:rsidRPr="00734A7D" w:rsidRDefault="005C747B" w:rsidP="005C747B">
            <w:pPr>
              <w:spacing w:line="480" w:lineRule="auto"/>
              <w:rPr>
                <w:rFonts w:ascii="Times New Roman" w:hAnsi="Times New Roman" w:cs="Times New Roman"/>
                <w:sz w:val="24"/>
                <w:szCs w:val="24"/>
              </w:rPr>
            </w:pPr>
          </w:p>
        </w:tc>
        <w:tc>
          <w:tcPr>
            <w:tcW w:w="4395" w:type="dxa"/>
            <w:gridSpan w:val="3"/>
            <w:tcBorders>
              <w:top w:val="single" w:sz="4" w:space="0" w:color="auto"/>
              <w:bottom w:val="single" w:sz="4" w:space="0" w:color="auto"/>
            </w:tcBorders>
            <w:vAlign w:val="center"/>
          </w:tcPr>
          <w:p w14:paraId="1B5DC615" w14:textId="77777777" w:rsidR="005C747B" w:rsidRPr="00734A7D" w:rsidRDefault="005C747B" w:rsidP="005C747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Test</w:t>
            </w:r>
          </w:p>
        </w:tc>
        <w:tc>
          <w:tcPr>
            <w:tcW w:w="1275" w:type="dxa"/>
            <w:tcBorders>
              <w:top w:val="single" w:sz="4" w:space="0" w:color="auto"/>
              <w:bottom w:val="single" w:sz="4" w:space="0" w:color="auto"/>
            </w:tcBorders>
            <w:vAlign w:val="center"/>
          </w:tcPr>
          <w:p w14:paraId="7784C6A7" w14:textId="77777777" w:rsidR="005C747B" w:rsidRPr="00734A7D" w:rsidRDefault="005C747B" w:rsidP="005C747B">
            <w:pPr>
              <w:spacing w:line="480" w:lineRule="auto"/>
              <w:jc w:val="center"/>
              <w:rPr>
                <w:rFonts w:ascii="Times New Roman" w:hAnsi="Times New Roman" w:cs="Times New Roman"/>
                <w:b/>
                <w:bCs/>
                <w:sz w:val="24"/>
                <w:szCs w:val="24"/>
              </w:rPr>
            </w:pPr>
            <w:r w:rsidRPr="00734A7D">
              <w:rPr>
                <w:rFonts w:ascii="Times New Roman" w:hAnsi="Times New Roman" w:cs="Times New Roman"/>
                <w:b/>
                <w:bCs/>
                <w:i/>
                <w:iCs/>
                <w:sz w:val="24"/>
                <w:szCs w:val="24"/>
              </w:rPr>
              <w:t>X</w:t>
            </w:r>
            <w:r w:rsidRPr="00734A7D">
              <w:rPr>
                <w:rFonts w:ascii="Times New Roman" w:hAnsi="Times New Roman" w:cs="Times New Roman"/>
                <w:b/>
                <w:bCs/>
                <w:sz w:val="24"/>
                <w:szCs w:val="24"/>
                <w:vertAlign w:val="superscript"/>
              </w:rPr>
              <w:t>2</w:t>
            </w:r>
          </w:p>
        </w:tc>
        <w:tc>
          <w:tcPr>
            <w:tcW w:w="851" w:type="dxa"/>
            <w:tcBorders>
              <w:top w:val="single" w:sz="4" w:space="0" w:color="auto"/>
              <w:bottom w:val="single" w:sz="4" w:space="0" w:color="auto"/>
            </w:tcBorders>
            <w:vAlign w:val="center"/>
          </w:tcPr>
          <w:p w14:paraId="3BC5E942" w14:textId="77777777" w:rsidR="005C747B" w:rsidRPr="00734A7D" w:rsidRDefault="005C747B" w:rsidP="005C747B">
            <w:pPr>
              <w:spacing w:line="480" w:lineRule="auto"/>
              <w:jc w:val="center"/>
              <w:rPr>
                <w:rFonts w:ascii="Times New Roman" w:hAnsi="Times New Roman" w:cs="Times New Roman"/>
                <w:b/>
                <w:bCs/>
                <w:sz w:val="24"/>
                <w:szCs w:val="24"/>
              </w:rPr>
            </w:pPr>
            <w:r w:rsidRPr="00734A7D">
              <w:rPr>
                <w:rFonts w:ascii="Times New Roman" w:hAnsi="Times New Roman" w:cs="Times New Roman"/>
                <w:b/>
                <w:bCs/>
                <w:i/>
                <w:iCs/>
                <w:sz w:val="24"/>
                <w:szCs w:val="24"/>
              </w:rPr>
              <w:t>df</w:t>
            </w:r>
          </w:p>
        </w:tc>
        <w:tc>
          <w:tcPr>
            <w:tcW w:w="1417" w:type="dxa"/>
            <w:tcBorders>
              <w:top w:val="single" w:sz="4" w:space="0" w:color="auto"/>
              <w:bottom w:val="single" w:sz="4" w:space="0" w:color="auto"/>
            </w:tcBorders>
            <w:vAlign w:val="center"/>
          </w:tcPr>
          <w:p w14:paraId="329254BB" w14:textId="77777777" w:rsidR="005C747B" w:rsidRPr="00734A7D" w:rsidRDefault="005C747B" w:rsidP="005C747B">
            <w:pPr>
              <w:spacing w:line="480" w:lineRule="auto"/>
              <w:jc w:val="center"/>
              <w:rPr>
                <w:rFonts w:ascii="Times New Roman" w:hAnsi="Times New Roman" w:cs="Times New Roman"/>
                <w:b/>
                <w:bCs/>
                <w:sz w:val="24"/>
                <w:szCs w:val="24"/>
              </w:rPr>
            </w:pPr>
            <w:r w:rsidRPr="00734A7D">
              <w:rPr>
                <w:rFonts w:ascii="Times New Roman" w:hAnsi="Times New Roman" w:cs="Times New Roman"/>
                <w:b/>
                <w:bCs/>
                <w:i/>
                <w:iCs/>
                <w:sz w:val="24"/>
                <w:szCs w:val="24"/>
              </w:rPr>
              <w:t>p</w:t>
            </w:r>
          </w:p>
        </w:tc>
        <w:tc>
          <w:tcPr>
            <w:tcW w:w="1701" w:type="dxa"/>
            <w:tcBorders>
              <w:top w:val="single" w:sz="4" w:space="0" w:color="auto"/>
              <w:bottom w:val="single" w:sz="4" w:space="0" w:color="auto"/>
            </w:tcBorders>
            <w:vAlign w:val="center"/>
          </w:tcPr>
          <w:p w14:paraId="32C955E9" w14:textId="77777777" w:rsidR="005C747B" w:rsidRPr="00734A7D" w:rsidRDefault="005C747B" w:rsidP="005C747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lang w:val="de-DE"/>
              </w:rPr>
              <w:t xml:space="preserve">Nagelk. </w:t>
            </w:r>
            <w:r w:rsidRPr="00734A7D">
              <w:rPr>
                <w:rFonts w:ascii="Times New Roman" w:hAnsi="Times New Roman" w:cs="Times New Roman"/>
                <w:b/>
                <w:bCs/>
                <w:i/>
                <w:iCs/>
                <w:sz w:val="24"/>
                <w:szCs w:val="24"/>
                <w:lang w:val="de-DE"/>
              </w:rPr>
              <w:t>R</w:t>
            </w:r>
            <w:r w:rsidRPr="00734A7D">
              <w:rPr>
                <w:rFonts w:ascii="Times New Roman" w:hAnsi="Times New Roman" w:cs="Times New Roman"/>
                <w:b/>
                <w:bCs/>
                <w:sz w:val="24"/>
                <w:szCs w:val="24"/>
                <w:vertAlign w:val="superscript"/>
                <w:lang w:val="de-DE"/>
              </w:rPr>
              <w:t>2</w:t>
            </w:r>
          </w:p>
        </w:tc>
        <w:tc>
          <w:tcPr>
            <w:tcW w:w="2268" w:type="dxa"/>
            <w:tcBorders>
              <w:top w:val="single" w:sz="4" w:space="0" w:color="auto"/>
              <w:bottom w:val="single" w:sz="4" w:space="0" w:color="auto"/>
            </w:tcBorders>
            <w:vAlign w:val="center"/>
          </w:tcPr>
          <w:p w14:paraId="70F1AC86" w14:textId="77777777" w:rsidR="005C747B" w:rsidRPr="00734A7D" w:rsidRDefault="005C747B" w:rsidP="005C747B">
            <w:pPr>
              <w:spacing w:line="480" w:lineRule="auto"/>
              <w:jc w:val="center"/>
              <w:rPr>
                <w:rFonts w:ascii="Times New Roman" w:hAnsi="Times New Roman" w:cs="Times New Roman"/>
                <w:b/>
                <w:bCs/>
                <w:sz w:val="24"/>
                <w:szCs w:val="24"/>
              </w:rPr>
            </w:pPr>
            <w:r w:rsidRPr="00734A7D">
              <w:rPr>
                <w:rFonts w:ascii="Times New Roman" w:hAnsi="Times New Roman" w:cs="Times New Roman"/>
                <w:b/>
                <w:bCs/>
                <w:sz w:val="24"/>
                <w:szCs w:val="24"/>
              </w:rPr>
              <w:t>PAC</w:t>
            </w:r>
          </w:p>
        </w:tc>
      </w:tr>
      <w:tr w:rsidR="005C747B" w:rsidRPr="00734A7D" w14:paraId="7D95E6F7" w14:textId="77777777" w:rsidTr="005C747B">
        <w:trPr>
          <w:trHeight w:val="282"/>
        </w:trPr>
        <w:tc>
          <w:tcPr>
            <w:tcW w:w="2835" w:type="dxa"/>
            <w:gridSpan w:val="2"/>
            <w:vMerge w:val="restart"/>
            <w:tcBorders>
              <w:top w:val="single" w:sz="4" w:space="0" w:color="auto"/>
            </w:tcBorders>
            <w:vAlign w:val="center"/>
          </w:tcPr>
          <w:p w14:paraId="4C1AE8F5" w14:textId="77777777" w:rsidR="005C747B" w:rsidRPr="00734A7D" w:rsidRDefault="005C747B" w:rsidP="005C747B">
            <w:pPr>
              <w:spacing w:line="480" w:lineRule="auto"/>
              <w:rPr>
                <w:rFonts w:ascii="Times New Roman" w:hAnsi="Times New Roman" w:cs="Times New Roman"/>
                <w:sz w:val="24"/>
                <w:szCs w:val="24"/>
              </w:rPr>
            </w:pPr>
            <w:r w:rsidRPr="00734A7D">
              <w:rPr>
                <w:rFonts w:ascii="Times New Roman" w:hAnsi="Times New Roman" w:cs="Times New Roman"/>
                <w:sz w:val="24"/>
                <w:szCs w:val="24"/>
              </w:rPr>
              <w:t>CN-CN vs. CN-MCI/AD</w:t>
            </w:r>
          </w:p>
        </w:tc>
        <w:tc>
          <w:tcPr>
            <w:tcW w:w="4395" w:type="dxa"/>
            <w:gridSpan w:val="3"/>
            <w:tcBorders>
              <w:top w:val="single" w:sz="4" w:space="0" w:color="auto"/>
            </w:tcBorders>
            <w:vAlign w:val="center"/>
          </w:tcPr>
          <w:p w14:paraId="3F67CA16"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b/>
                <w:bCs/>
                <w:sz w:val="24"/>
                <w:szCs w:val="24"/>
              </w:rPr>
              <w:t>Overall model evaluation</w:t>
            </w:r>
          </w:p>
        </w:tc>
        <w:tc>
          <w:tcPr>
            <w:tcW w:w="1275" w:type="dxa"/>
            <w:tcBorders>
              <w:top w:val="single" w:sz="4" w:space="0" w:color="auto"/>
            </w:tcBorders>
            <w:vAlign w:val="center"/>
          </w:tcPr>
          <w:p w14:paraId="0BC078A0"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21.029</w:t>
            </w:r>
          </w:p>
        </w:tc>
        <w:tc>
          <w:tcPr>
            <w:tcW w:w="851" w:type="dxa"/>
            <w:tcBorders>
              <w:top w:val="single" w:sz="4" w:space="0" w:color="auto"/>
            </w:tcBorders>
            <w:vAlign w:val="center"/>
          </w:tcPr>
          <w:p w14:paraId="71E0424D"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w:t>
            </w:r>
          </w:p>
        </w:tc>
        <w:tc>
          <w:tcPr>
            <w:tcW w:w="1417" w:type="dxa"/>
            <w:tcBorders>
              <w:top w:val="single" w:sz="4" w:space="0" w:color="auto"/>
            </w:tcBorders>
            <w:vAlign w:val="center"/>
          </w:tcPr>
          <w:p w14:paraId="435C7C4F"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.013</w:t>
            </w:r>
          </w:p>
        </w:tc>
        <w:tc>
          <w:tcPr>
            <w:tcW w:w="1701" w:type="dxa"/>
            <w:tcBorders>
              <w:top w:val="single" w:sz="4" w:space="0" w:color="auto"/>
            </w:tcBorders>
            <w:vAlign w:val="center"/>
          </w:tcPr>
          <w:p w14:paraId="4E19B1BF"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.424</w:t>
            </w:r>
          </w:p>
        </w:tc>
        <w:tc>
          <w:tcPr>
            <w:tcW w:w="2268" w:type="dxa"/>
            <w:tcBorders>
              <w:top w:val="single" w:sz="4" w:space="0" w:color="auto"/>
            </w:tcBorders>
            <w:vAlign w:val="center"/>
          </w:tcPr>
          <w:p w14:paraId="4AC4DE6D"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80.0</w:t>
            </w:r>
          </w:p>
        </w:tc>
      </w:tr>
      <w:tr w:rsidR="005C747B" w:rsidRPr="00734A7D" w14:paraId="269CCF76" w14:textId="77777777" w:rsidTr="005C747B">
        <w:trPr>
          <w:trHeight w:val="282"/>
        </w:trPr>
        <w:tc>
          <w:tcPr>
            <w:tcW w:w="2835" w:type="dxa"/>
            <w:gridSpan w:val="2"/>
            <w:vMerge/>
            <w:vAlign w:val="center"/>
          </w:tcPr>
          <w:p w14:paraId="7ACA9D18" w14:textId="77777777" w:rsidR="005C747B" w:rsidRPr="00734A7D" w:rsidRDefault="005C747B" w:rsidP="005C747B">
            <w:pPr>
              <w:spacing w:line="480" w:lineRule="auto"/>
              <w:rPr>
                <w:rFonts w:ascii="Times New Roman" w:hAnsi="Times New Roman" w:cs="Times New Roman"/>
                <w:sz w:val="24"/>
                <w:szCs w:val="24"/>
              </w:rPr>
            </w:pPr>
          </w:p>
        </w:tc>
        <w:tc>
          <w:tcPr>
            <w:tcW w:w="4395" w:type="dxa"/>
            <w:gridSpan w:val="3"/>
            <w:tcBorders>
              <w:bottom w:val="single" w:sz="4" w:space="0" w:color="auto"/>
            </w:tcBorders>
            <w:vAlign w:val="center"/>
          </w:tcPr>
          <w:p w14:paraId="49F99C3A"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b/>
                <w:bCs/>
                <w:sz w:val="24"/>
                <w:szCs w:val="24"/>
              </w:rPr>
              <w:t>Goodness-of-fit test</w:t>
            </w:r>
          </w:p>
        </w:tc>
        <w:tc>
          <w:tcPr>
            <w:tcW w:w="1275" w:type="dxa"/>
            <w:tcBorders>
              <w:bottom w:val="single" w:sz="4" w:space="0" w:color="auto"/>
            </w:tcBorders>
            <w:vAlign w:val="center"/>
          </w:tcPr>
          <w:p w14:paraId="07EB3650"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10.282</w:t>
            </w:r>
          </w:p>
        </w:tc>
        <w:tc>
          <w:tcPr>
            <w:tcW w:w="851" w:type="dxa"/>
            <w:tcBorders>
              <w:bottom w:val="single" w:sz="4" w:space="0" w:color="auto"/>
            </w:tcBorders>
            <w:vAlign w:val="center"/>
          </w:tcPr>
          <w:p w14:paraId="658F5B59"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w:t>
            </w:r>
          </w:p>
        </w:tc>
        <w:tc>
          <w:tcPr>
            <w:tcW w:w="1417" w:type="dxa"/>
            <w:tcBorders>
              <w:bottom w:val="single" w:sz="4" w:space="0" w:color="auto"/>
            </w:tcBorders>
            <w:vAlign w:val="center"/>
          </w:tcPr>
          <w:p w14:paraId="47B05FB1"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.173</w:t>
            </w:r>
          </w:p>
        </w:tc>
        <w:tc>
          <w:tcPr>
            <w:tcW w:w="1701" w:type="dxa"/>
            <w:tcBorders>
              <w:bottom w:val="single" w:sz="4" w:space="0" w:color="auto"/>
            </w:tcBorders>
            <w:vAlign w:val="center"/>
          </w:tcPr>
          <w:p w14:paraId="5453D487"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c>
          <w:tcPr>
            <w:tcW w:w="2268" w:type="dxa"/>
            <w:tcBorders>
              <w:bottom w:val="single" w:sz="4" w:space="0" w:color="auto"/>
            </w:tcBorders>
            <w:vAlign w:val="center"/>
          </w:tcPr>
          <w:p w14:paraId="2F0D26F8"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r>
      <w:tr w:rsidR="005C747B" w:rsidRPr="00734A7D" w14:paraId="4725CEDE" w14:textId="77777777" w:rsidTr="005C747B">
        <w:trPr>
          <w:trHeight w:val="282"/>
        </w:trPr>
        <w:tc>
          <w:tcPr>
            <w:tcW w:w="2835" w:type="dxa"/>
            <w:gridSpan w:val="2"/>
            <w:vMerge w:val="restart"/>
            <w:vAlign w:val="center"/>
          </w:tcPr>
          <w:p w14:paraId="68CFB3C3" w14:textId="77777777" w:rsidR="005C747B" w:rsidRPr="00734A7D" w:rsidRDefault="005C747B" w:rsidP="005C747B">
            <w:pPr>
              <w:spacing w:line="480" w:lineRule="auto"/>
              <w:rPr>
                <w:rFonts w:ascii="Times New Roman" w:hAnsi="Times New Roman" w:cs="Times New Roman"/>
                <w:sz w:val="24"/>
                <w:szCs w:val="24"/>
              </w:rPr>
            </w:pPr>
            <w:r w:rsidRPr="00734A7D">
              <w:rPr>
                <w:rFonts w:ascii="Times New Roman" w:hAnsi="Times New Roman" w:cs="Times New Roman"/>
                <w:sz w:val="24"/>
                <w:szCs w:val="24"/>
              </w:rPr>
              <w:t>MCI-MCI vs. MCI-AD</w:t>
            </w:r>
          </w:p>
        </w:tc>
        <w:tc>
          <w:tcPr>
            <w:tcW w:w="4395" w:type="dxa"/>
            <w:gridSpan w:val="3"/>
            <w:tcBorders>
              <w:top w:val="single" w:sz="4" w:space="0" w:color="auto"/>
            </w:tcBorders>
            <w:vAlign w:val="center"/>
          </w:tcPr>
          <w:p w14:paraId="03302E23"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b/>
                <w:bCs/>
                <w:sz w:val="24"/>
                <w:szCs w:val="24"/>
              </w:rPr>
              <w:t>Overall model evaluation</w:t>
            </w:r>
          </w:p>
        </w:tc>
        <w:tc>
          <w:tcPr>
            <w:tcW w:w="1275" w:type="dxa"/>
            <w:tcBorders>
              <w:top w:val="single" w:sz="4" w:space="0" w:color="auto"/>
            </w:tcBorders>
            <w:vAlign w:val="center"/>
          </w:tcPr>
          <w:p w14:paraId="6A66B693"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51.686</w:t>
            </w:r>
          </w:p>
        </w:tc>
        <w:tc>
          <w:tcPr>
            <w:tcW w:w="851" w:type="dxa"/>
            <w:tcBorders>
              <w:top w:val="single" w:sz="4" w:space="0" w:color="auto"/>
            </w:tcBorders>
            <w:vAlign w:val="center"/>
          </w:tcPr>
          <w:p w14:paraId="017718A6"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9</w:t>
            </w:r>
          </w:p>
        </w:tc>
        <w:tc>
          <w:tcPr>
            <w:tcW w:w="1417" w:type="dxa"/>
            <w:tcBorders>
              <w:top w:val="single" w:sz="4" w:space="0" w:color="auto"/>
            </w:tcBorders>
            <w:vAlign w:val="center"/>
          </w:tcPr>
          <w:p w14:paraId="50F94A5B"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.000</w:t>
            </w:r>
          </w:p>
        </w:tc>
        <w:tc>
          <w:tcPr>
            <w:tcW w:w="1701" w:type="dxa"/>
            <w:tcBorders>
              <w:top w:val="single" w:sz="4" w:space="0" w:color="auto"/>
            </w:tcBorders>
            <w:vAlign w:val="center"/>
          </w:tcPr>
          <w:p w14:paraId="06A66BCA"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.347</w:t>
            </w:r>
          </w:p>
        </w:tc>
        <w:tc>
          <w:tcPr>
            <w:tcW w:w="2268" w:type="dxa"/>
            <w:tcBorders>
              <w:top w:val="single" w:sz="4" w:space="0" w:color="auto"/>
            </w:tcBorders>
            <w:vAlign w:val="center"/>
          </w:tcPr>
          <w:p w14:paraId="3981E472"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74.6</w:t>
            </w:r>
          </w:p>
        </w:tc>
      </w:tr>
      <w:tr w:rsidR="005C747B" w:rsidRPr="00734A7D" w14:paraId="0A618AF8" w14:textId="77777777" w:rsidTr="005C747B">
        <w:trPr>
          <w:trHeight w:val="282"/>
        </w:trPr>
        <w:tc>
          <w:tcPr>
            <w:tcW w:w="2835" w:type="dxa"/>
            <w:gridSpan w:val="2"/>
            <w:vMerge/>
            <w:tcBorders>
              <w:bottom w:val="single" w:sz="4" w:space="0" w:color="auto"/>
            </w:tcBorders>
            <w:vAlign w:val="center"/>
          </w:tcPr>
          <w:p w14:paraId="107DF23E" w14:textId="77777777" w:rsidR="005C747B" w:rsidRPr="00734A7D" w:rsidRDefault="005C747B" w:rsidP="005C747B">
            <w:pPr>
              <w:spacing w:line="480" w:lineRule="auto"/>
              <w:rPr>
                <w:rFonts w:ascii="Times New Roman" w:hAnsi="Times New Roman" w:cs="Times New Roman"/>
                <w:sz w:val="24"/>
                <w:szCs w:val="24"/>
              </w:rPr>
            </w:pPr>
          </w:p>
        </w:tc>
        <w:tc>
          <w:tcPr>
            <w:tcW w:w="4395" w:type="dxa"/>
            <w:gridSpan w:val="3"/>
            <w:tcBorders>
              <w:bottom w:val="single" w:sz="4" w:space="0" w:color="auto"/>
            </w:tcBorders>
            <w:vAlign w:val="center"/>
          </w:tcPr>
          <w:p w14:paraId="4AC2F4F6"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b/>
                <w:bCs/>
                <w:sz w:val="24"/>
                <w:szCs w:val="24"/>
              </w:rPr>
              <w:t>Goodness-of-fit test</w:t>
            </w:r>
          </w:p>
        </w:tc>
        <w:tc>
          <w:tcPr>
            <w:tcW w:w="1275" w:type="dxa"/>
            <w:tcBorders>
              <w:bottom w:val="single" w:sz="4" w:space="0" w:color="auto"/>
            </w:tcBorders>
            <w:vAlign w:val="center"/>
          </w:tcPr>
          <w:p w14:paraId="343C634D"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6.333</w:t>
            </w:r>
          </w:p>
        </w:tc>
        <w:tc>
          <w:tcPr>
            <w:tcW w:w="851" w:type="dxa"/>
            <w:tcBorders>
              <w:bottom w:val="single" w:sz="4" w:space="0" w:color="auto"/>
            </w:tcBorders>
            <w:vAlign w:val="center"/>
          </w:tcPr>
          <w:p w14:paraId="0BBA43F6"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8</w:t>
            </w:r>
          </w:p>
        </w:tc>
        <w:tc>
          <w:tcPr>
            <w:tcW w:w="1417" w:type="dxa"/>
            <w:tcBorders>
              <w:bottom w:val="single" w:sz="4" w:space="0" w:color="auto"/>
            </w:tcBorders>
            <w:vAlign w:val="center"/>
          </w:tcPr>
          <w:p w14:paraId="03CDF6AF"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.610</w:t>
            </w:r>
          </w:p>
        </w:tc>
        <w:tc>
          <w:tcPr>
            <w:tcW w:w="1701" w:type="dxa"/>
            <w:tcBorders>
              <w:bottom w:val="single" w:sz="4" w:space="0" w:color="auto"/>
            </w:tcBorders>
            <w:vAlign w:val="center"/>
          </w:tcPr>
          <w:p w14:paraId="0F7D418A"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c>
          <w:tcPr>
            <w:tcW w:w="2268" w:type="dxa"/>
            <w:tcBorders>
              <w:bottom w:val="single" w:sz="4" w:space="0" w:color="auto"/>
            </w:tcBorders>
            <w:vAlign w:val="center"/>
          </w:tcPr>
          <w:p w14:paraId="5347F3D1" w14:textId="77777777" w:rsidR="005C747B" w:rsidRPr="00734A7D" w:rsidRDefault="005C747B" w:rsidP="005C747B">
            <w:pPr>
              <w:spacing w:line="480" w:lineRule="auto"/>
              <w:jc w:val="center"/>
              <w:rPr>
                <w:rFonts w:ascii="Times New Roman" w:hAnsi="Times New Roman" w:cs="Times New Roman"/>
                <w:sz w:val="24"/>
                <w:szCs w:val="24"/>
              </w:rPr>
            </w:pPr>
            <w:r w:rsidRPr="00734A7D">
              <w:rPr>
                <w:rFonts w:ascii="Times New Roman" w:hAnsi="Times New Roman" w:cs="Times New Roman"/>
                <w:sz w:val="24"/>
                <w:szCs w:val="24"/>
              </w:rPr>
              <w:t>-</w:t>
            </w:r>
          </w:p>
        </w:tc>
      </w:tr>
      <w:tr w:rsidR="005C747B" w:rsidRPr="00A839B2" w14:paraId="0525F774" w14:textId="77777777" w:rsidTr="005C747B">
        <w:trPr>
          <w:trHeight w:val="282"/>
        </w:trPr>
        <w:tc>
          <w:tcPr>
            <w:tcW w:w="14742" w:type="dxa"/>
            <w:gridSpan w:val="10"/>
            <w:tcBorders>
              <w:top w:val="single" w:sz="4" w:space="0" w:color="auto"/>
            </w:tcBorders>
            <w:vAlign w:val="center"/>
          </w:tcPr>
          <w:p w14:paraId="5B1D111A" w14:textId="77777777" w:rsidR="005C747B" w:rsidRPr="00A839B2" w:rsidRDefault="005C747B" w:rsidP="005C747B">
            <w:pPr>
              <w:spacing w:line="360" w:lineRule="auto"/>
              <w:rPr>
                <w:rFonts w:ascii="Times New Roman" w:eastAsia="Calibri" w:hAnsi="Times New Roman" w:cs="Times New Roman"/>
                <w:sz w:val="24"/>
                <w:szCs w:val="24"/>
              </w:rPr>
            </w:pPr>
            <w:r w:rsidRPr="00734A7D">
              <w:rPr>
                <w:rFonts w:ascii="Times New Roman" w:eastAsia="Calibri" w:hAnsi="Times New Roman" w:cs="Times New Roman"/>
                <w:sz w:val="24"/>
                <w:szCs w:val="24"/>
              </w:rPr>
              <w:t xml:space="preserve">All predictor variables that showed non-significant associations were omitted from the table. </w:t>
            </w:r>
            <w:r w:rsidRPr="00734A7D">
              <w:rPr>
                <w:rFonts w:ascii="Times New Roman" w:hAnsi="Times New Roman" w:cs="Times New Roman"/>
                <w:sz w:val="24"/>
                <w:szCs w:val="24"/>
              </w:rPr>
              <w:t xml:space="preserve"> e</w:t>
            </w:r>
            <w:r w:rsidRPr="00734A7D">
              <w:rPr>
                <w:rFonts w:ascii="Times New Roman" w:hAnsi="Times New Roman" w:cs="Times New Roman"/>
                <w:sz w:val="24"/>
                <w:szCs w:val="24"/>
                <w:vertAlign w:val="superscript"/>
              </w:rPr>
              <w:t>β</w:t>
            </w:r>
            <w:r w:rsidRPr="00734A7D">
              <w:rPr>
                <w:rFonts w:ascii="Times New Roman" w:hAnsi="Times New Roman" w:cs="Times New Roman"/>
                <w:sz w:val="24"/>
                <w:szCs w:val="24"/>
              </w:rPr>
              <w:t xml:space="preserve"> = odds ratio.</w:t>
            </w:r>
            <w:r w:rsidRPr="00734A7D">
              <w:rPr>
                <w:rFonts w:ascii="Times New Roman" w:eastAsia="Calibri" w:hAnsi="Times New Roman" w:cs="Times New Roman"/>
                <w:sz w:val="24"/>
                <w:szCs w:val="24"/>
              </w:rPr>
              <w:t xml:space="preserve"> CI = Confidence Interval. CN-CN n = 27, CN-MCI/AD n = 28. </w:t>
            </w:r>
            <w:r w:rsidRPr="00734A7D">
              <w:rPr>
                <w:rFonts w:ascii="Times New Roman" w:eastAsia="Calibri" w:hAnsi="Times New Roman" w:cs="Times New Roman"/>
                <w:bCs/>
                <w:sz w:val="24"/>
                <w:szCs w:val="24"/>
              </w:rPr>
              <w:t xml:space="preserve"> MCI-MCI n = 99, MCI-AD n = 74.</w:t>
            </w:r>
          </w:p>
        </w:tc>
      </w:tr>
    </w:tbl>
    <w:p w14:paraId="046B590E" w14:textId="77777777" w:rsidR="001C0228" w:rsidRDefault="001C0228" w:rsidP="001C0228">
      <w:pPr>
        <w:sectPr w:rsidR="001C0228" w:rsidSect="001C0228">
          <w:pgSz w:w="16838" w:h="11906" w:orient="landscape"/>
          <w:pgMar w:top="1440" w:right="1440" w:bottom="1440" w:left="1440" w:header="708" w:footer="708" w:gutter="0"/>
          <w:cols w:space="708"/>
          <w:docGrid w:linePitch="360"/>
        </w:sectPr>
      </w:pPr>
    </w:p>
    <w:p w14:paraId="6FB8F6BE" w14:textId="77777777" w:rsidR="0002067C" w:rsidRDefault="0002067C" w:rsidP="0002067C">
      <w:pPr>
        <w:sectPr w:rsidR="0002067C" w:rsidSect="001C0228">
          <w:type w:val="continuous"/>
          <w:pgSz w:w="16838" w:h="11906" w:orient="landscape"/>
          <w:pgMar w:top="1440" w:right="1440" w:bottom="1440" w:left="1440" w:header="708" w:footer="708" w:gutter="0"/>
          <w:cols w:space="708"/>
          <w:docGrid w:linePitch="360"/>
        </w:sectPr>
      </w:pPr>
    </w:p>
    <w:p w14:paraId="568EDA82" w14:textId="77777777" w:rsidR="0002067C" w:rsidRDefault="0002067C" w:rsidP="0002067C">
      <w:pPr>
        <w:sectPr w:rsidR="0002067C" w:rsidSect="001C0228">
          <w:type w:val="continuous"/>
          <w:pgSz w:w="16838" w:h="11906" w:orient="landscape"/>
          <w:pgMar w:top="1440" w:right="1440" w:bottom="1440" w:left="1440" w:header="708" w:footer="708" w:gutter="0"/>
          <w:cols w:space="708"/>
          <w:docGrid w:linePitch="360"/>
        </w:sectPr>
      </w:pPr>
    </w:p>
    <w:p w14:paraId="2F7FD878" w14:textId="77777777" w:rsidR="00DA7CC5" w:rsidRPr="00DA7CC5" w:rsidRDefault="00DA7CC5" w:rsidP="00476C70">
      <w:pPr>
        <w:sectPr w:rsidR="00DA7CC5" w:rsidRPr="00DA7CC5" w:rsidSect="0002067C">
          <w:pgSz w:w="16838" w:h="11906" w:orient="landscape"/>
          <w:pgMar w:top="1440" w:right="1440" w:bottom="1440" w:left="1440" w:header="708" w:footer="708" w:gutter="0"/>
          <w:cols w:space="708"/>
          <w:docGrid w:linePitch="360"/>
        </w:sectPr>
      </w:pPr>
    </w:p>
    <w:p w14:paraId="743E0501" w14:textId="29BCE0C6" w:rsidR="00A4364E" w:rsidRPr="00DA7CC5" w:rsidRDefault="00A4364E" w:rsidP="0026541A"/>
    <w:sectPr w:rsidR="00A4364E" w:rsidRPr="00DA7CC5" w:rsidSect="00DA7CC5">
      <w:type w:val="continuous"/>
      <w:pgSz w:w="16838" w:h="11906" w:orient="landscape"/>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08F7D0" w16cid:durableId="2444CAE7"/>
  <w16cid:commentId w16cid:paraId="1661ADA7" w16cid:durableId="2444CBEB"/>
  <w16cid:commentId w16cid:paraId="6B703A06" w16cid:durableId="2444CCCA"/>
  <w16cid:commentId w16cid:paraId="69E546AE" w16cid:durableId="2444CCF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51982" w14:textId="77777777" w:rsidR="007A4E3D" w:rsidRDefault="007A4E3D">
      <w:pPr>
        <w:spacing w:after="0" w:line="240" w:lineRule="auto"/>
      </w:pPr>
      <w:r>
        <w:separator/>
      </w:r>
    </w:p>
  </w:endnote>
  <w:endnote w:type="continuationSeparator" w:id="0">
    <w:p w14:paraId="2EECC3BF" w14:textId="77777777" w:rsidR="007A4E3D" w:rsidRDefault="007A4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Liberation Mono">
    <w:altName w:val="Calibri"/>
    <w:charset w:val="00"/>
    <w:family w:val="modern"/>
    <w:pitch w:val="fixed"/>
  </w:font>
  <w:font w:name="Nimbus Mono L">
    <w:charset w:val="00"/>
    <w:family w:val="modern"/>
    <w:pitch w:val="fixed"/>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45464"/>
      <w:docPartObj>
        <w:docPartGallery w:val="Page Numbers (Bottom of Page)"/>
        <w:docPartUnique/>
      </w:docPartObj>
    </w:sdtPr>
    <w:sdtEndPr/>
    <w:sdtContent>
      <w:p w14:paraId="40E2FC19" w14:textId="35C07C99" w:rsidR="00543D97" w:rsidRDefault="00543D97">
        <w:pPr>
          <w:pStyle w:val="Fuzeile"/>
          <w:jc w:val="right"/>
        </w:pPr>
        <w:r>
          <w:fldChar w:fldCharType="begin"/>
        </w:r>
        <w:r>
          <w:instrText>PAGE   \* MERGEFORMAT</w:instrText>
        </w:r>
        <w:r>
          <w:fldChar w:fldCharType="separate"/>
        </w:r>
        <w:r w:rsidR="00DC4F6D" w:rsidRPr="00DC4F6D">
          <w:rPr>
            <w:noProof/>
            <w:lang w:val="de-DE"/>
          </w:rPr>
          <w:t>1</w:t>
        </w:r>
        <w:r>
          <w:fldChar w:fldCharType="end"/>
        </w:r>
      </w:p>
    </w:sdtContent>
  </w:sdt>
  <w:p w14:paraId="3F01D8F0" w14:textId="77777777" w:rsidR="00543D97" w:rsidRDefault="00543D97">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173479"/>
      <w:docPartObj>
        <w:docPartGallery w:val="Page Numbers (Bottom of Page)"/>
        <w:docPartUnique/>
      </w:docPartObj>
    </w:sdtPr>
    <w:sdtEndPr/>
    <w:sdtContent>
      <w:p w14:paraId="089AD3E1" w14:textId="77777777" w:rsidR="00543D97" w:rsidRDefault="00543D97">
        <w:pPr>
          <w:pStyle w:val="Fuzeile"/>
          <w:jc w:val="right"/>
        </w:pPr>
        <w:r>
          <w:fldChar w:fldCharType="begin"/>
        </w:r>
        <w:r>
          <w:instrText>PAGE   \* MERGEFORMAT</w:instrText>
        </w:r>
        <w:r>
          <w:fldChar w:fldCharType="separate"/>
        </w:r>
        <w:r w:rsidRPr="00953092">
          <w:rPr>
            <w:lang w:val="en-GB"/>
          </w:rPr>
          <w:t>2</w:t>
        </w:r>
        <w:r>
          <w:fldChar w:fldCharType="end"/>
        </w:r>
      </w:p>
    </w:sdtContent>
  </w:sdt>
  <w:p w14:paraId="36BF0DDE" w14:textId="77777777" w:rsidR="00543D97" w:rsidRPr="00057A1D" w:rsidRDefault="00543D97">
    <w:pPr>
      <w:pStyle w:val="Fuzeile"/>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31CB4" w14:textId="77777777" w:rsidR="007A4E3D" w:rsidRDefault="007A4E3D">
      <w:pPr>
        <w:spacing w:after="0" w:line="240" w:lineRule="auto"/>
      </w:pPr>
      <w:r>
        <w:separator/>
      </w:r>
    </w:p>
  </w:footnote>
  <w:footnote w:type="continuationSeparator" w:id="0">
    <w:p w14:paraId="5A195BAE" w14:textId="77777777" w:rsidR="007A4E3D" w:rsidRDefault="007A4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391C9D"/>
    <w:multiLevelType w:val="multilevel"/>
    <w:tmpl w:val="D6DC596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ACF3646"/>
    <w:multiLevelType w:val="hybridMultilevel"/>
    <w:tmpl w:val="B56ED938"/>
    <w:lvl w:ilvl="0" w:tplc="6D9457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006"/>
    <w:rsid w:val="00002F18"/>
    <w:rsid w:val="00005271"/>
    <w:rsid w:val="00006611"/>
    <w:rsid w:val="000159B7"/>
    <w:rsid w:val="0002067C"/>
    <w:rsid w:val="00024BBB"/>
    <w:rsid w:val="000308B4"/>
    <w:rsid w:val="00034972"/>
    <w:rsid w:val="00055922"/>
    <w:rsid w:val="00080A04"/>
    <w:rsid w:val="000918A5"/>
    <w:rsid w:val="000B33C5"/>
    <w:rsid w:val="000B4810"/>
    <w:rsid w:val="000C52F9"/>
    <w:rsid w:val="000D1630"/>
    <w:rsid w:val="000D2ACE"/>
    <w:rsid w:val="000D63FD"/>
    <w:rsid w:val="000F6F7D"/>
    <w:rsid w:val="00101483"/>
    <w:rsid w:val="00104DD2"/>
    <w:rsid w:val="00111E36"/>
    <w:rsid w:val="00132CF1"/>
    <w:rsid w:val="00133778"/>
    <w:rsid w:val="00146A4F"/>
    <w:rsid w:val="00156AF9"/>
    <w:rsid w:val="00165320"/>
    <w:rsid w:val="0016544E"/>
    <w:rsid w:val="00171119"/>
    <w:rsid w:val="00172775"/>
    <w:rsid w:val="00174F74"/>
    <w:rsid w:val="00175CA4"/>
    <w:rsid w:val="00181BDA"/>
    <w:rsid w:val="00183AB9"/>
    <w:rsid w:val="001856C7"/>
    <w:rsid w:val="001903D7"/>
    <w:rsid w:val="001947E1"/>
    <w:rsid w:val="00196481"/>
    <w:rsid w:val="001A17B1"/>
    <w:rsid w:val="001B115B"/>
    <w:rsid w:val="001C010C"/>
    <w:rsid w:val="001C0228"/>
    <w:rsid w:val="001C5196"/>
    <w:rsid w:val="001D5CC1"/>
    <w:rsid w:val="001D7E49"/>
    <w:rsid w:val="001E0B9D"/>
    <w:rsid w:val="001E7F14"/>
    <w:rsid w:val="001F5ACA"/>
    <w:rsid w:val="00205150"/>
    <w:rsid w:val="00207BDC"/>
    <w:rsid w:val="002133F2"/>
    <w:rsid w:val="00215311"/>
    <w:rsid w:val="00215963"/>
    <w:rsid w:val="00241FE6"/>
    <w:rsid w:val="002440C7"/>
    <w:rsid w:val="002453B1"/>
    <w:rsid w:val="00252EB4"/>
    <w:rsid w:val="00263004"/>
    <w:rsid w:val="00263841"/>
    <w:rsid w:val="0026541A"/>
    <w:rsid w:val="0028001F"/>
    <w:rsid w:val="00283B46"/>
    <w:rsid w:val="00287CF9"/>
    <w:rsid w:val="002B5DFE"/>
    <w:rsid w:val="002C0297"/>
    <w:rsid w:val="002C0483"/>
    <w:rsid w:val="002C7A64"/>
    <w:rsid w:val="002D0E0F"/>
    <w:rsid w:val="002D1CBA"/>
    <w:rsid w:val="002D1E41"/>
    <w:rsid w:val="002D2962"/>
    <w:rsid w:val="002D5198"/>
    <w:rsid w:val="002E1256"/>
    <w:rsid w:val="002E5B1E"/>
    <w:rsid w:val="002E69AC"/>
    <w:rsid w:val="002F1986"/>
    <w:rsid w:val="003133AC"/>
    <w:rsid w:val="003151CC"/>
    <w:rsid w:val="00315F1A"/>
    <w:rsid w:val="00315F5B"/>
    <w:rsid w:val="003161E5"/>
    <w:rsid w:val="003247AF"/>
    <w:rsid w:val="00341E0C"/>
    <w:rsid w:val="00353AF0"/>
    <w:rsid w:val="0036054E"/>
    <w:rsid w:val="00360F7C"/>
    <w:rsid w:val="00367B41"/>
    <w:rsid w:val="00371DB0"/>
    <w:rsid w:val="003837D3"/>
    <w:rsid w:val="003A3F5F"/>
    <w:rsid w:val="003C0677"/>
    <w:rsid w:val="003C0810"/>
    <w:rsid w:val="003F26B8"/>
    <w:rsid w:val="003F6960"/>
    <w:rsid w:val="004136CD"/>
    <w:rsid w:val="00414B9E"/>
    <w:rsid w:val="00417B54"/>
    <w:rsid w:val="004220D5"/>
    <w:rsid w:val="00424933"/>
    <w:rsid w:val="0043427F"/>
    <w:rsid w:val="0043639C"/>
    <w:rsid w:val="00442E6E"/>
    <w:rsid w:val="00443040"/>
    <w:rsid w:val="00445C21"/>
    <w:rsid w:val="004616B1"/>
    <w:rsid w:val="00462D56"/>
    <w:rsid w:val="00465C55"/>
    <w:rsid w:val="00465F19"/>
    <w:rsid w:val="00466CFF"/>
    <w:rsid w:val="00471E4D"/>
    <w:rsid w:val="004761C3"/>
    <w:rsid w:val="00476C70"/>
    <w:rsid w:val="004810FA"/>
    <w:rsid w:val="0048450E"/>
    <w:rsid w:val="00486F93"/>
    <w:rsid w:val="00487A54"/>
    <w:rsid w:val="00487FF4"/>
    <w:rsid w:val="00495E62"/>
    <w:rsid w:val="004A4C72"/>
    <w:rsid w:val="004A7587"/>
    <w:rsid w:val="004B3E47"/>
    <w:rsid w:val="004C5864"/>
    <w:rsid w:val="004C5C55"/>
    <w:rsid w:val="004D4CAE"/>
    <w:rsid w:val="004D7F50"/>
    <w:rsid w:val="004E5774"/>
    <w:rsid w:val="004F271F"/>
    <w:rsid w:val="005016E3"/>
    <w:rsid w:val="005021B5"/>
    <w:rsid w:val="005067E2"/>
    <w:rsid w:val="0050684C"/>
    <w:rsid w:val="0050794C"/>
    <w:rsid w:val="0051391C"/>
    <w:rsid w:val="0051444F"/>
    <w:rsid w:val="00526C6E"/>
    <w:rsid w:val="00531779"/>
    <w:rsid w:val="00531963"/>
    <w:rsid w:val="00535966"/>
    <w:rsid w:val="00535FD3"/>
    <w:rsid w:val="0054055F"/>
    <w:rsid w:val="00540B58"/>
    <w:rsid w:val="00543D97"/>
    <w:rsid w:val="00553DAD"/>
    <w:rsid w:val="0055460B"/>
    <w:rsid w:val="00562A05"/>
    <w:rsid w:val="00563626"/>
    <w:rsid w:val="00570D54"/>
    <w:rsid w:val="0057129D"/>
    <w:rsid w:val="00571BC6"/>
    <w:rsid w:val="0057270A"/>
    <w:rsid w:val="0057521F"/>
    <w:rsid w:val="005A2C3F"/>
    <w:rsid w:val="005A59FE"/>
    <w:rsid w:val="005A79A6"/>
    <w:rsid w:val="005B2978"/>
    <w:rsid w:val="005B5433"/>
    <w:rsid w:val="005C1133"/>
    <w:rsid w:val="005C3D7C"/>
    <w:rsid w:val="005C747B"/>
    <w:rsid w:val="005C78E4"/>
    <w:rsid w:val="005D3647"/>
    <w:rsid w:val="005F1EF2"/>
    <w:rsid w:val="005F3AF8"/>
    <w:rsid w:val="005F3B72"/>
    <w:rsid w:val="005F6D3D"/>
    <w:rsid w:val="00604F17"/>
    <w:rsid w:val="00617530"/>
    <w:rsid w:val="00633F3F"/>
    <w:rsid w:val="00634525"/>
    <w:rsid w:val="006470E2"/>
    <w:rsid w:val="00675470"/>
    <w:rsid w:val="00675BB3"/>
    <w:rsid w:val="006778E1"/>
    <w:rsid w:val="00681BE8"/>
    <w:rsid w:val="00684084"/>
    <w:rsid w:val="006843D5"/>
    <w:rsid w:val="006A4DAB"/>
    <w:rsid w:val="006A6C24"/>
    <w:rsid w:val="006C5616"/>
    <w:rsid w:val="006D1CCF"/>
    <w:rsid w:val="006D41EA"/>
    <w:rsid w:val="006F198B"/>
    <w:rsid w:val="006F721C"/>
    <w:rsid w:val="00706617"/>
    <w:rsid w:val="00712006"/>
    <w:rsid w:val="00724953"/>
    <w:rsid w:val="00726E5C"/>
    <w:rsid w:val="00734A7D"/>
    <w:rsid w:val="00741500"/>
    <w:rsid w:val="00752B4A"/>
    <w:rsid w:val="0075483D"/>
    <w:rsid w:val="007716A1"/>
    <w:rsid w:val="00774046"/>
    <w:rsid w:val="0078063B"/>
    <w:rsid w:val="00780F19"/>
    <w:rsid w:val="00781C7E"/>
    <w:rsid w:val="0078470D"/>
    <w:rsid w:val="0078507A"/>
    <w:rsid w:val="00787235"/>
    <w:rsid w:val="00791712"/>
    <w:rsid w:val="0079177D"/>
    <w:rsid w:val="007966CF"/>
    <w:rsid w:val="007972A0"/>
    <w:rsid w:val="007A4E3D"/>
    <w:rsid w:val="007B2978"/>
    <w:rsid w:val="007B6464"/>
    <w:rsid w:val="007C7BF0"/>
    <w:rsid w:val="007D320F"/>
    <w:rsid w:val="007D6F77"/>
    <w:rsid w:val="007E0DB9"/>
    <w:rsid w:val="007E138E"/>
    <w:rsid w:val="007E5973"/>
    <w:rsid w:val="00806D24"/>
    <w:rsid w:val="00812799"/>
    <w:rsid w:val="0083385D"/>
    <w:rsid w:val="00833F3F"/>
    <w:rsid w:val="00835791"/>
    <w:rsid w:val="0083760E"/>
    <w:rsid w:val="008550F9"/>
    <w:rsid w:val="0086433E"/>
    <w:rsid w:val="0087395C"/>
    <w:rsid w:val="00875B97"/>
    <w:rsid w:val="00876333"/>
    <w:rsid w:val="00880704"/>
    <w:rsid w:val="00887964"/>
    <w:rsid w:val="00887A8D"/>
    <w:rsid w:val="00890F43"/>
    <w:rsid w:val="008A31EE"/>
    <w:rsid w:val="008C5AA5"/>
    <w:rsid w:val="008C6CE2"/>
    <w:rsid w:val="008D2D97"/>
    <w:rsid w:val="008D5BB8"/>
    <w:rsid w:val="008D5D3E"/>
    <w:rsid w:val="008E1B0B"/>
    <w:rsid w:val="008E4018"/>
    <w:rsid w:val="008F05BD"/>
    <w:rsid w:val="008F6BA7"/>
    <w:rsid w:val="00902629"/>
    <w:rsid w:val="00903ED3"/>
    <w:rsid w:val="00906128"/>
    <w:rsid w:val="00906841"/>
    <w:rsid w:val="00906BA5"/>
    <w:rsid w:val="00914893"/>
    <w:rsid w:val="00917F80"/>
    <w:rsid w:val="0092765F"/>
    <w:rsid w:val="009309AD"/>
    <w:rsid w:val="00930A9F"/>
    <w:rsid w:val="0093102E"/>
    <w:rsid w:val="00933551"/>
    <w:rsid w:val="0093412B"/>
    <w:rsid w:val="0093626D"/>
    <w:rsid w:val="00941386"/>
    <w:rsid w:val="009547D3"/>
    <w:rsid w:val="009549F5"/>
    <w:rsid w:val="009648E5"/>
    <w:rsid w:val="009732F4"/>
    <w:rsid w:val="00973BFA"/>
    <w:rsid w:val="00974F35"/>
    <w:rsid w:val="00975935"/>
    <w:rsid w:val="00985737"/>
    <w:rsid w:val="00985B9E"/>
    <w:rsid w:val="00990699"/>
    <w:rsid w:val="00991198"/>
    <w:rsid w:val="009A0E1C"/>
    <w:rsid w:val="009A497F"/>
    <w:rsid w:val="009A4B30"/>
    <w:rsid w:val="009A5601"/>
    <w:rsid w:val="009B37D7"/>
    <w:rsid w:val="009B5745"/>
    <w:rsid w:val="009C337E"/>
    <w:rsid w:val="009E1D06"/>
    <w:rsid w:val="009E3F3E"/>
    <w:rsid w:val="009E6D65"/>
    <w:rsid w:val="009F329F"/>
    <w:rsid w:val="009F379D"/>
    <w:rsid w:val="009F3D08"/>
    <w:rsid w:val="009F76B9"/>
    <w:rsid w:val="00A01EB5"/>
    <w:rsid w:val="00A040AF"/>
    <w:rsid w:val="00A22B6B"/>
    <w:rsid w:val="00A2349C"/>
    <w:rsid w:val="00A269D3"/>
    <w:rsid w:val="00A31E31"/>
    <w:rsid w:val="00A41A5D"/>
    <w:rsid w:val="00A4364E"/>
    <w:rsid w:val="00A47F2C"/>
    <w:rsid w:val="00A54EF9"/>
    <w:rsid w:val="00A57101"/>
    <w:rsid w:val="00A60E54"/>
    <w:rsid w:val="00A611C4"/>
    <w:rsid w:val="00A6337F"/>
    <w:rsid w:val="00A839B2"/>
    <w:rsid w:val="00A90E16"/>
    <w:rsid w:val="00AA0542"/>
    <w:rsid w:val="00AA1E8D"/>
    <w:rsid w:val="00AA2A4A"/>
    <w:rsid w:val="00AA6E94"/>
    <w:rsid w:val="00AB51E4"/>
    <w:rsid w:val="00AB6F43"/>
    <w:rsid w:val="00AC0655"/>
    <w:rsid w:val="00AC4407"/>
    <w:rsid w:val="00AE505D"/>
    <w:rsid w:val="00AE5CB8"/>
    <w:rsid w:val="00AE6180"/>
    <w:rsid w:val="00AE6F7A"/>
    <w:rsid w:val="00AE7654"/>
    <w:rsid w:val="00AF0281"/>
    <w:rsid w:val="00AF11D5"/>
    <w:rsid w:val="00AF3EDF"/>
    <w:rsid w:val="00AF4499"/>
    <w:rsid w:val="00AF7BDE"/>
    <w:rsid w:val="00B00E33"/>
    <w:rsid w:val="00B1072B"/>
    <w:rsid w:val="00B23F02"/>
    <w:rsid w:val="00B25806"/>
    <w:rsid w:val="00B264E1"/>
    <w:rsid w:val="00B31299"/>
    <w:rsid w:val="00B36387"/>
    <w:rsid w:val="00B40AE7"/>
    <w:rsid w:val="00B477E1"/>
    <w:rsid w:val="00B51224"/>
    <w:rsid w:val="00B61519"/>
    <w:rsid w:val="00B64BEA"/>
    <w:rsid w:val="00B679DC"/>
    <w:rsid w:val="00B74CCC"/>
    <w:rsid w:val="00B9479F"/>
    <w:rsid w:val="00BA4145"/>
    <w:rsid w:val="00BA61B4"/>
    <w:rsid w:val="00BB1B3C"/>
    <w:rsid w:val="00BC0B3D"/>
    <w:rsid w:val="00BC6DA9"/>
    <w:rsid w:val="00BD4116"/>
    <w:rsid w:val="00BD4575"/>
    <w:rsid w:val="00BD4C56"/>
    <w:rsid w:val="00BE16AC"/>
    <w:rsid w:val="00BE1D9E"/>
    <w:rsid w:val="00BE7C5C"/>
    <w:rsid w:val="00BF101F"/>
    <w:rsid w:val="00BF6765"/>
    <w:rsid w:val="00C16CF3"/>
    <w:rsid w:val="00C26F01"/>
    <w:rsid w:val="00C407EF"/>
    <w:rsid w:val="00C42649"/>
    <w:rsid w:val="00C45CD7"/>
    <w:rsid w:val="00C46076"/>
    <w:rsid w:val="00C50288"/>
    <w:rsid w:val="00C70A37"/>
    <w:rsid w:val="00C7277E"/>
    <w:rsid w:val="00C75569"/>
    <w:rsid w:val="00C90FA3"/>
    <w:rsid w:val="00C92C64"/>
    <w:rsid w:val="00C953EC"/>
    <w:rsid w:val="00C96F26"/>
    <w:rsid w:val="00CA0C19"/>
    <w:rsid w:val="00CA1CAD"/>
    <w:rsid w:val="00CA35BE"/>
    <w:rsid w:val="00CA48C6"/>
    <w:rsid w:val="00CB78EE"/>
    <w:rsid w:val="00CC19EB"/>
    <w:rsid w:val="00CD16C5"/>
    <w:rsid w:val="00CD67CB"/>
    <w:rsid w:val="00CD7A72"/>
    <w:rsid w:val="00CE1EBC"/>
    <w:rsid w:val="00CE2EB1"/>
    <w:rsid w:val="00CE6B18"/>
    <w:rsid w:val="00CE6CF9"/>
    <w:rsid w:val="00CF7220"/>
    <w:rsid w:val="00D064B3"/>
    <w:rsid w:val="00D12767"/>
    <w:rsid w:val="00D304D5"/>
    <w:rsid w:val="00D36F2D"/>
    <w:rsid w:val="00D41213"/>
    <w:rsid w:val="00D4684C"/>
    <w:rsid w:val="00D54973"/>
    <w:rsid w:val="00D55ACF"/>
    <w:rsid w:val="00D77977"/>
    <w:rsid w:val="00D9243D"/>
    <w:rsid w:val="00D9440E"/>
    <w:rsid w:val="00DA6A0D"/>
    <w:rsid w:val="00DA7CC5"/>
    <w:rsid w:val="00DB5C25"/>
    <w:rsid w:val="00DB720D"/>
    <w:rsid w:val="00DC3E49"/>
    <w:rsid w:val="00DC4F6D"/>
    <w:rsid w:val="00DC7B4B"/>
    <w:rsid w:val="00DD3F41"/>
    <w:rsid w:val="00DE0CAF"/>
    <w:rsid w:val="00DE31BC"/>
    <w:rsid w:val="00DF458F"/>
    <w:rsid w:val="00DF5F28"/>
    <w:rsid w:val="00E025C6"/>
    <w:rsid w:val="00E03515"/>
    <w:rsid w:val="00E06AAC"/>
    <w:rsid w:val="00E166C3"/>
    <w:rsid w:val="00E167A5"/>
    <w:rsid w:val="00E207FD"/>
    <w:rsid w:val="00E30F54"/>
    <w:rsid w:val="00E3253B"/>
    <w:rsid w:val="00E410F7"/>
    <w:rsid w:val="00E424D7"/>
    <w:rsid w:val="00E437E4"/>
    <w:rsid w:val="00E64705"/>
    <w:rsid w:val="00E90816"/>
    <w:rsid w:val="00E92E48"/>
    <w:rsid w:val="00E9546F"/>
    <w:rsid w:val="00EA0823"/>
    <w:rsid w:val="00EA397C"/>
    <w:rsid w:val="00EB7549"/>
    <w:rsid w:val="00EC40BB"/>
    <w:rsid w:val="00ED3FFE"/>
    <w:rsid w:val="00EF13E1"/>
    <w:rsid w:val="00F049DF"/>
    <w:rsid w:val="00F11C27"/>
    <w:rsid w:val="00F158C5"/>
    <w:rsid w:val="00F272CD"/>
    <w:rsid w:val="00F4352C"/>
    <w:rsid w:val="00F44519"/>
    <w:rsid w:val="00F55AE0"/>
    <w:rsid w:val="00F870E8"/>
    <w:rsid w:val="00FB64A1"/>
    <w:rsid w:val="00FC0868"/>
    <w:rsid w:val="00FC4697"/>
    <w:rsid w:val="00FD2982"/>
    <w:rsid w:val="00FE53F4"/>
    <w:rsid w:val="00FE5635"/>
    <w:rsid w:val="00FE5F2D"/>
    <w:rsid w:val="00FF7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4FCD"/>
  <w15:chartTrackingRefBased/>
  <w15:docId w15:val="{5D922C2E-57B0-4327-8C0F-83BDFDFD9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12006"/>
    <w:rPr>
      <w:lang w:val="en-US"/>
    </w:rPr>
  </w:style>
  <w:style w:type="paragraph" w:styleId="berschrift1">
    <w:name w:val="heading 1"/>
    <w:basedOn w:val="Standard"/>
    <w:next w:val="Standard"/>
    <w:link w:val="berschrift1Zchn"/>
    <w:uiPriority w:val="9"/>
    <w:qFormat/>
    <w:rsid w:val="007120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7120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7120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7120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12006"/>
    <w:rPr>
      <w:rFonts w:asciiTheme="majorHAnsi" w:eastAsiaTheme="majorEastAsia" w:hAnsiTheme="majorHAnsi" w:cstheme="majorBidi"/>
      <w:color w:val="2F5496" w:themeColor="accent1" w:themeShade="BF"/>
      <w:sz w:val="32"/>
      <w:szCs w:val="32"/>
      <w:lang w:val="en-US"/>
    </w:rPr>
  </w:style>
  <w:style w:type="character" w:customStyle="1" w:styleId="berschrift2Zchn">
    <w:name w:val="Überschrift 2 Zchn"/>
    <w:basedOn w:val="Absatz-Standardschriftart"/>
    <w:link w:val="berschrift2"/>
    <w:uiPriority w:val="9"/>
    <w:rsid w:val="00712006"/>
    <w:rPr>
      <w:rFonts w:asciiTheme="majorHAnsi" w:eastAsiaTheme="majorEastAsia" w:hAnsiTheme="majorHAnsi" w:cstheme="majorBidi"/>
      <w:color w:val="2F5496" w:themeColor="accent1" w:themeShade="BF"/>
      <w:sz w:val="26"/>
      <w:szCs w:val="26"/>
      <w:lang w:val="en-US"/>
    </w:rPr>
  </w:style>
  <w:style w:type="character" w:customStyle="1" w:styleId="berschrift3Zchn">
    <w:name w:val="Überschrift 3 Zchn"/>
    <w:basedOn w:val="Absatz-Standardschriftart"/>
    <w:link w:val="berschrift3"/>
    <w:uiPriority w:val="9"/>
    <w:rsid w:val="00712006"/>
    <w:rPr>
      <w:rFonts w:asciiTheme="majorHAnsi" w:eastAsiaTheme="majorEastAsia" w:hAnsiTheme="majorHAnsi" w:cstheme="majorBidi"/>
      <w:color w:val="1F3763" w:themeColor="accent1" w:themeShade="7F"/>
      <w:sz w:val="24"/>
      <w:szCs w:val="24"/>
      <w:lang w:val="en-US"/>
    </w:rPr>
  </w:style>
  <w:style w:type="character" w:customStyle="1" w:styleId="berschrift4Zchn">
    <w:name w:val="Überschrift 4 Zchn"/>
    <w:basedOn w:val="Absatz-Standardschriftart"/>
    <w:link w:val="berschrift4"/>
    <w:uiPriority w:val="9"/>
    <w:semiHidden/>
    <w:rsid w:val="00712006"/>
    <w:rPr>
      <w:rFonts w:asciiTheme="majorHAnsi" w:eastAsiaTheme="majorEastAsia" w:hAnsiTheme="majorHAnsi" w:cstheme="majorBidi"/>
      <w:i/>
      <w:iCs/>
      <w:color w:val="2F5496" w:themeColor="accent1" w:themeShade="BF"/>
      <w:lang w:val="en-US"/>
    </w:rPr>
  </w:style>
  <w:style w:type="paragraph" w:styleId="Titel">
    <w:name w:val="Title"/>
    <w:basedOn w:val="Standard"/>
    <w:next w:val="Standard"/>
    <w:link w:val="TitelZchn"/>
    <w:uiPriority w:val="10"/>
    <w:qFormat/>
    <w:rsid w:val="007120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12006"/>
    <w:rPr>
      <w:rFonts w:asciiTheme="majorHAnsi" w:eastAsiaTheme="majorEastAsia" w:hAnsiTheme="majorHAnsi" w:cstheme="majorBidi"/>
      <w:spacing w:val="-10"/>
      <w:kern w:val="28"/>
      <w:sz w:val="56"/>
      <w:szCs w:val="56"/>
      <w:lang w:val="en-US"/>
    </w:rPr>
  </w:style>
  <w:style w:type="paragraph" w:styleId="Kopfzeile">
    <w:name w:val="header"/>
    <w:basedOn w:val="Standard"/>
    <w:link w:val="KopfzeileZchn"/>
    <w:uiPriority w:val="99"/>
    <w:unhideWhenUsed/>
    <w:rsid w:val="00712006"/>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712006"/>
    <w:rPr>
      <w:lang w:val="en-US"/>
    </w:rPr>
  </w:style>
  <w:style w:type="paragraph" w:styleId="Fuzeile">
    <w:name w:val="footer"/>
    <w:basedOn w:val="Standard"/>
    <w:link w:val="FuzeileZchn"/>
    <w:uiPriority w:val="99"/>
    <w:unhideWhenUsed/>
    <w:rsid w:val="00712006"/>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712006"/>
    <w:rPr>
      <w:lang w:val="en-US"/>
    </w:rPr>
  </w:style>
  <w:style w:type="paragraph" w:styleId="Listenabsatz">
    <w:name w:val="List Paragraph"/>
    <w:basedOn w:val="Standard"/>
    <w:uiPriority w:val="34"/>
    <w:qFormat/>
    <w:rsid w:val="00712006"/>
    <w:pPr>
      <w:ind w:left="720"/>
      <w:contextualSpacing/>
    </w:pPr>
  </w:style>
  <w:style w:type="paragraph" w:styleId="Sprechblasentext">
    <w:name w:val="Balloon Text"/>
    <w:basedOn w:val="Standard"/>
    <w:link w:val="SprechblasentextZchn"/>
    <w:uiPriority w:val="99"/>
    <w:semiHidden/>
    <w:unhideWhenUsed/>
    <w:rsid w:val="0071200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12006"/>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712006"/>
    <w:rPr>
      <w:sz w:val="16"/>
      <w:szCs w:val="16"/>
    </w:rPr>
  </w:style>
  <w:style w:type="paragraph" w:styleId="Kommentartext">
    <w:name w:val="annotation text"/>
    <w:basedOn w:val="Standard"/>
    <w:link w:val="KommentartextZchn"/>
    <w:uiPriority w:val="99"/>
    <w:unhideWhenUsed/>
    <w:rsid w:val="00712006"/>
    <w:pPr>
      <w:spacing w:line="240" w:lineRule="auto"/>
    </w:pPr>
    <w:rPr>
      <w:sz w:val="20"/>
      <w:szCs w:val="20"/>
    </w:rPr>
  </w:style>
  <w:style w:type="character" w:customStyle="1" w:styleId="KommentartextZchn">
    <w:name w:val="Kommentartext Zchn"/>
    <w:basedOn w:val="Absatz-Standardschriftart"/>
    <w:link w:val="Kommentartext"/>
    <w:uiPriority w:val="99"/>
    <w:rsid w:val="00712006"/>
    <w:rPr>
      <w:sz w:val="20"/>
      <w:szCs w:val="20"/>
      <w:lang w:val="en-US"/>
    </w:rPr>
  </w:style>
  <w:style w:type="paragraph" w:styleId="Kommentarthema">
    <w:name w:val="annotation subject"/>
    <w:basedOn w:val="Kommentartext"/>
    <w:next w:val="Kommentartext"/>
    <w:link w:val="KommentarthemaZchn"/>
    <w:uiPriority w:val="99"/>
    <w:semiHidden/>
    <w:unhideWhenUsed/>
    <w:rsid w:val="00712006"/>
    <w:rPr>
      <w:b/>
      <w:bCs/>
    </w:rPr>
  </w:style>
  <w:style w:type="character" w:customStyle="1" w:styleId="KommentarthemaZchn">
    <w:name w:val="Kommentarthema Zchn"/>
    <w:basedOn w:val="KommentartextZchn"/>
    <w:link w:val="Kommentarthema"/>
    <w:uiPriority w:val="99"/>
    <w:semiHidden/>
    <w:rsid w:val="00712006"/>
    <w:rPr>
      <w:b/>
      <w:bCs/>
      <w:sz w:val="20"/>
      <w:szCs w:val="20"/>
      <w:lang w:val="en-US"/>
    </w:rPr>
  </w:style>
  <w:style w:type="character" w:styleId="Hyperlink">
    <w:name w:val="Hyperlink"/>
    <w:basedOn w:val="Absatz-Standardschriftart"/>
    <w:uiPriority w:val="99"/>
    <w:unhideWhenUsed/>
    <w:rsid w:val="00712006"/>
    <w:rPr>
      <w:color w:val="0000FF"/>
      <w:u w:val="single"/>
    </w:rPr>
  </w:style>
  <w:style w:type="character" w:customStyle="1" w:styleId="NichtaufgelsteErwhnung1">
    <w:name w:val="Nicht aufgelöste Erwähnung1"/>
    <w:basedOn w:val="Absatz-Standardschriftart"/>
    <w:uiPriority w:val="99"/>
    <w:semiHidden/>
    <w:unhideWhenUsed/>
    <w:rsid w:val="00712006"/>
    <w:rPr>
      <w:color w:val="605E5C"/>
      <w:shd w:val="clear" w:color="auto" w:fill="E1DFDD"/>
    </w:rPr>
  </w:style>
  <w:style w:type="table" w:styleId="Tabellenraster">
    <w:name w:val="Table Grid"/>
    <w:basedOn w:val="NormaleTabelle"/>
    <w:uiPriority w:val="39"/>
    <w:rsid w:val="007120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7120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Liste-Akzent51">
    <w:name w:val="Helle Liste - Akzent 51"/>
    <w:basedOn w:val="NormaleTabelle"/>
    <w:next w:val="HelleListe-Akzent5"/>
    <w:uiPriority w:val="61"/>
    <w:rsid w:val="00712006"/>
    <w:pPr>
      <w:spacing w:after="0" w:line="240" w:lineRule="auto"/>
    </w:pPr>
    <w:rPr>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HelleListe-Akzent5">
    <w:name w:val="Light List Accent 5"/>
    <w:basedOn w:val="NormaleTabelle"/>
    <w:uiPriority w:val="61"/>
    <w:semiHidden/>
    <w:unhideWhenUsed/>
    <w:rsid w:val="00712006"/>
    <w:pPr>
      <w:spacing w:after="0" w:line="240" w:lineRule="auto"/>
    </w:pPr>
    <w:rPr>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Platzhaltertext">
    <w:name w:val="Placeholder Text"/>
    <w:basedOn w:val="Absatz-Standardschriftart"/>
    <w:uiPriority w:val="99"/>
    <w:semiHidden/>
    <w:rsid w:val="00712006"/>
    <w:rPr>
      <w:color w:val="808080"/>
    </w:rPr>
  </w:style>
  <w:style w:type="paragraph" w:customStyle="1" w:styleId="EndNoteBibliography">
    <w:name w:val="EndNote Bibliography"/>
    <w:basedOn w:val="Standard"/>
    <w:link w:val="EndNoteBibliographyZchn"/>
    <w:rsid w:val="00712006"/>
    <w:pPr>
      <w:spacing w:after="0" w:line="240" w:lineRule="auto"/>
      <w:ind w:firstLine="720"/>
    </w:pPr>
    <w:rPr>
      <w:rFonts w:ascii="Times New Roman" w:hAnsi="Times New Roman" w:cs="Times New Roman"/>
      <w:b/>
      <w:noProof/>
      <w:sz w:val="24"/>
      <w:szCs w:val="24"/>
    </w:rPr>
  </w:style>
  <w:style w:type="character" w:customStyle="1" w:styleId="EndNoteBibliographyZchn">
    <w:name w:val="EndNote Bibliography Zchn"/>
    <w:basedOn w:val="Absatz-Standardschriftart"/>
    <w:link w:val="EndNoteBibliography"/>
    <w:rsid w:val="00712006"/>
    <w:rPr>
      <w:rFonts w:ascii="Times New Roman" w:hAnsi="Times New Roman" w:cs="Times New Roman"/>
      <w:b/>
      <w:noProof/>
      <w:sz w:val="24"/>
      <w:szCs w:val="24"/>
      <w:lang w:val="en-US"/>
    </w:rPr>
  </w:style>
  <w:style w:type="paragraph" w:styleId="KeinLeerraum">
    <w:name w:val="No Spacing"/>
    <w:uiPriority w:val="1"/>
    <w:qFormat/>
    <w:rsid w:val="00712006"/>
    <w:pPr>
      <w:spacing w:after="0" w:line="240" w:lineRule="auto"/>
    </w:pPr>
    <w:rPr>
      <w:lang w:val="de-DE"/>
    </w:rPr>
  </w:style>
  <w:style w:type="paragraph" w:styleId="Inhaltsverzeichnisberschrift">
    <w:name w:val="TOC Heading"/>
    <w:basedOn w:val="berschrift1"/>
    <w:next w:val="Standard"/>
    <w:uiPriority w:val="39"/>
    <w:unhideWhenUsed/>
    <w:qFormat/>
    <w:rsid w:val="00712006"/>
    <w:pPr>
      <w:keepNext w:val="0"/>
      <w:keepLines w:val="0"/>
      <w:spacing w:before="300" w:after="40" w:line="480" w:lineRule="auto"/>
      <w:ind w:firstLine="720"/>
      <w:outlineLvl w:val="9"/>
    </w:pPr>
    <w:rPr>
      <w:rFonts w:asciiTheme="majorBidi" w:eastAsiaTheme="minorHAnsi" w:hAnsiTheme="majorBidi"/>
      <w:b/>
      <w:smallCaps/>
      <w:color w:val="auto"/>
      <w:spacing w:val="5"/>
      <w:lang w:val="de-DE"/>
    </w:rPr>
  </w:style>
  <w:style w:type="table" w:customStyle="1" w:styleId="Tabellenraster2">
    <w:name w:val="Tabellenraster2"/>
    <w:basedOn w:val="NormaleTabelle"/>
    <w:next w:val="Tabellenraster"/>
    <w:uiPriority w:val="59"/>
    <w:rsid w:val="0071200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Text">
    <w:name w:val="Preformatted Text"/>
    <w:basedOn w:val="Standard"/>
    <w:rsid w:val="00712006"/>
    <w:pPr>
      <w:widowControl w:val="0"/>
      <w:suppressAutoHyphens/>
      <w:autoSpaceDN w:val="0"/>
      <w:spacing w:after="0" w:line="240" w:lineRule="auto"/>
      <w:textAlignment w:val="baseline"/>
    </w:pPr>
    <w:rPr>
      <w:rFonts w:ascii="Liberation Mono" w:eastAsia="Nimbus Mono L" w:hAnsi="Liberation Mono" w:cs="Liberation Mono"/>
      <w:kern w:val="3"/>
      <w:sz w:val="20"/>
      <w:szCs w:val="20"/>
      <w:lang w:eastAsia="zh-CN" w:bidi="hi-IN"/>
    </w:rPr>
  </w:style>
  <w:style w:type="character" w:styleId="Hervorhebung">
    <w:name w:val="Emphasis"/>
    <w:basedOn w:val="Absatz-Standardschriftart"/>
    <w:uiPriority w:val="20"/>
    <w:qFormat/>
    <w:rsid w:val="00712006"/>
    <w:rPr>
      <w:i/>
      <w:iCs/>
    </w:rPr>
  </w:style>
  <w:style w:type="character" w:customStyle="1" w:styleId="ref-title">
    <w:name w:val="ref-title"/>
    <w:basedOn w:val="Absatz-Standardschriftart"/>
    <w:rsid w:val="00712006"/>
  </w:style>
  <w:style w:type="character" w:customStyle="1" w:styleId="ref-journal">
    <w:name w:val="ref-journal"/>
    <w:basedOn w:val="Absatz-Standardschriftart"/>
    <w:rsid w:val="00712006"/>
  </w:style>
  <w:style w:type="character" w:customStyle="1" w:styleId="ref-vol">
    <w:name w:val="ref-vol"/>
    <w:basedOn w:val="Absatz-Standardschriftart"/>
    <w:rsid w:val="00712006"/>
  </w:style>
  <w:style w:type="character" w:customStyle="1" w:styleId="mi">
    <w:name w:val="mi"/>
    <w:basedOn w:val="Absatz-Standardschriftart"/>
    <w:rsid w:val="00712006"/>
  </w:style>
  <w:style w:type="character" w:customStyle="1" w:styleId="mn">
    <w:name w:val="mn"/>
    <w:basedOn w:val="Absatz-Standardschriftart"/>
    <w:rsid w:val="00712006"/>
  </w:style>
  <w:style w:type="paragraph" w:styleId="StandardWeb">
    <w:name w:val="Normal (Web)"/>
    <w:basedOn w:val="Standard"/>
    <w:uiPriority w:val="99"/>
    <w:unhideWhenUsed/>
    <w:rsid w:val="00712006"/>
    <w:pPr>
      <w:spacing w:before="100" w:beforeAutospacing="1" w:after="100" w:afterAutospacing="1" w:line="240" w:lineRule="auto"/>
    </w:pPr>
    <w:rPr>
      <w:rFonts w:ascii="Times New Roman" w:eastAsia="Times New Roman" w:hAnsi="Times New Roman" w:cs="Times New Roman"/>
      <w:sz w:val="24"/>
      <w:szCs w:val="24"/>
    </w:rPr>
  </w:style>
  <w:style w:type="character" w:styleId="BesuchterLink">
    <w:name w:val="FollowedHyperlink"/>
    <w:basedOn w:val="Absatz-Standardschriftart"/>
    <w:uiPriority w:val="99"/>
    <w:semiHidden/>
    <w:unhideWhenUsed/>
    <w:rsid w:val="00712006"/>
    <w:rPr>
      <w:color w:val="954F72" w:themeColor="followedHyperlink"/>
      <w:u w:val="single"/>
    </w:rPr>
  </w:style>
  <w:style w:type="character" w:customStyle="1" w:styleId="identifier">
    <w:name w:val="identifier"/>
    <w:basedOn w:val="Absatz-Standardschriftart"/>
    <w:rsid w:val="00712006"/>
  </w:style>
  <w:style w:type="paragraph" w:customStyle="1" w:styleId="m-article-headerauthorsgroup">
    <w:name w:val="m-article-header__authors__group"/>
    <w:basedOn w:val="Standard"/>
    <w:rsid w:val="0055460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ghwire-citation-author">
    <w:name w:val="highwire-citation-author"/>
    <w:basedOn w:val="Absatz-Standardschriftart"/>
    <w:rsid w:val="00367B41"/>
  </w:style>
  <w:style w:type="character" w:customStyle="1" w:styleId="authors-list-item">
    <w:name w:val="authors-list-item"/>
    <w:basedOn w:val="Absatz-Standardschriftart"/>
    <w:rsid w:val="00AA6E94"/>
  </w:style>
  <w:style w:type="character" w:customStyle="1" w:styleId="author-sup-separator">
    <w:name w:val="author-sup-separator"/>
    <w:basedOn w:val="Absatz-Standardschriftart"/>
    <w:rsid w:val="00AA6E94"/>
  </w:style>
  <w:style w:type="character" w:customStyle="1" w:styleId="comma">
    <w:name w:val="comma"/>
    <w:basedOn w:val="Absatz-Standardschriftart"/>
    <w:rsid w:val="00AA6E94"/>
  </w:style>
  <w:style w:type="character" w:customStyle="1" w:styleId="meta-authors--limited">
    <w:name w:val="meta-authors--limited"/>
    <w:basedOn w:val="Absatz-Standardschriftart"/>
    <w:rsid w:val="0043427F"/>
  </w:style>
  <w:style w:type="character" w:customStyle="1" w:styleId="wi-fullname">
    <w:name w:val="wi-fullname"/>
    <w:basedOn w:val="Absatz-Standardschriftart"/>
    <w:rsid w:val="0043427F"/>
  </w:style>
  <w:style w:type="character" w:customStyle="1" w:styleId="al-author-delim">
    <w:name w:val="al-author-delim"/>
    <w:basedOn w:val="Absatz-Standardschriftart"/>
    <w:rsid w:val="0043427F"/>
  </w:style>
  <w:style w:type="character" w:customStyle="1" w:styleId="nlm-given-names">
    <w:name w:val="nlm-given-names"/>
    <w:basedOn w:val="Absatz-Standardschriftart"/>
    <w:rsid w:val="00975935"/>
  </w:style>
  <w:style w:type="character" w:customStyle="1" w:styleId="nlm-surname">
    <w:name w:val="nlm-surname"/>
    <w:basedOn w:val="Absatz-Standardschriftart"/>
    <w:rsid w:val="00975935"/>
  </w:style>
  <w:style w:type="character" w:customStyle="1" w:styleId="nlm-collab">
    <w:name w:val="nlm-collab"/>
    <w:basedOn w:val="Absatz-Standardschriftart"/>
    <w:rsid w:val="00975935"/>
  </w:style>
  <w:style w:type="paragraph" w:customStyle="1" w:styleId="padding-3">
    <w:name w:val="padding-3"/>
    <w:basedOn w:val="Standard"/>
    <w:rsid w:val="00F11C2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author-listitem">
    <w:name w:val="c-author-list__item"/>
    <w:basedOn w:val="Standard"/>
    <w:rsid w:val="003837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id-label">
    <w:name w:val="id-label"/>
    <w:basedOn w:val="Absatz-Standardschriftart"/>
    <w:rsid w:val="00442E6E"/>
  </w:style>
  <w:style w:type="paragraph" w:customStyle="1" w:styleId="xmsonormal">
    <w:name w:val="x_msonormal"/>
    <w:basedOn w:val="Standard"/>
    <w:rsid w:val="00EC40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ghwire-cite-metadata-volume">
    <w:name w:val="highwire-cite-metadata-volume"/>
    <w:basedOn w:val="Absatz-Standardschriftart"/>
    <w:rsid w:val="00DC3E49"/>
  </w:style>
  <w:style w:type="character" w:customStyle="1" w:styleId="highwire-cite-metadata-issue">
    <w:name w:val="highwire-cite-metadata-issue"/>
    <w:basedOn w:val="Absatz-Standardschriftart"/>
    <w:rsid w:val="00DC3E49"/>
  </w:style>
  <w:style w:type="character" w:customStyle="1" w:styleId="highwire-cite-metadata-pages">
    <w:name w:val="highwire-cite-metadata-pages"/>
    <w:basedOn w:val="Absatz-Standardschriftart"/>
    <w:rsid w:val="00DC3E49"/>
  </w:style>
  <w:style w:type="character" w:customStyle="1" w:styleId="highwire-cite-metadata-doi">
    <w:name w:val="highwire-cite-metadata-doi"/>
    <w:basedOn w:val="Absatz-Standardschriftart"/>
    <w:rsid w:val="00DC3E49"/>
  </w:style>
  <w:style w:type="character" w:customStyle="1" w:styleId="label">
    <w:name w:val="label"/>
    <w:basedOn w:val="Absatz-Standardschriftart"/>
    <w:rsid w:val="00DC3E49"/>
  </w:style>
  <w:style w:type="character" w:customStyle="1" w:styleId="cit">
    <w:name w:val="cit"/>
    <w:basedOn w:val="Absatz-Standardschriftart"/>
    <w:rsid w:val="007966CF"/>
  </w:style>
  <w:style w:type="character" w:customStyle="1" w:styleId="citation-doi">
    <w:name w:val="citation-doi"/>
    <w:basedOn w:val="Absatz-Standardschriftart"/>
    <w:rsid w:val="00796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54102">
      <w:bodyDiv w:val="1"/>
      <w:marLeft w:val="0"/>
      <w:marRight w:val="0"/>
      <w:marTop w:val="0"/>
      <w:marBottom w:val="0"/>
      <w:divBdr>
        <w:top w:val="none" w:sz="0" w:space="0" w:color="auto"/>
        <w:left w:val="none" w:sz="0" w:space="0" w:color="auto"/>
        <w:bottom w:val="none" w:sz="0" w:space="0" w:color="auto"/>
        <w:right w:val="none" w:sz="0" w:space="0" w:color="auto"/>
      </w:divBdr>
      <w:divsChild>
        <w:div w:id="2015762043">
          <w:marLeft w:val="0"/>
          <w:marRight w:val="0"/>
          <w:marTop w:val="0"/>
          <w:marBottom w:val="0"/>
          <w:divBdr>
            <w:top w:val="none" w:sz="0" w:space="0" w:color="auto"/>
            <w:left w:val="none" w:sz="0" w:space="0" w:color="auto"/>
            <w:bottom w:val="none" w:sz="0" w:space="0" w:color="auto"/>
            <w:right w:val="none" w:sz="0" w:space="0" w:color="auto"/>
          </w:divBdr>
        </w:div>
      </w:divsChild>
    </w:div>
    <w:div w:id="438067308">
      <w:bodyDiv w:val="1"/>
      <w:marLeft w:val="0"/>
      <w:marRight w:val="0"/>
      <w:marTop w:val="0"/>
      <w:marBottom w:val="0"/>
      <w:divBdr>
        <w:top w:val="none" w:sz="0" w:space="0" w:color="auto"/>
        <w:left w:val="none" w:sz="0" w:space="0" w:color="auto"/>
        <w:bottom w:val="none" w:sz="0" w:space="0" w:color="auto"/>
        <w:right w:val="none" w:sz="0" w:space="0" w:color="auto"/>
      </w:divBdr>
    </w:div>
    <w:div w:id="756443432">
      <w:bodyDiv w:val="1"/>
      <w:marLeft w:val="0"/>
      <w:marRight w:val="0"/>
      <w:marTop w:val="0"/>
      <w:marBottom w:val="0"/>
      <w:divBdr>
        <w:top w:val="none" w:sz="0" w:space="0" w:color="auto"/>
        <w:left w:val="none" w:sz="0" w:space="0" w:color="auto"/>
        <w:bottom w:val="none" w:sz="0" w:space="0" w:color="auto"/>
        <w:right w:val="none" w:sz="0" w:space="0" w:color="auto"/>
      </w:divBdr>
    </w:div>
    <w:div w:id="797341354">
      <w:bodyDiv w:val="1"/>
      <w:marLeft w:val="0"/>
      <w:marRight w:val="0"/>
      <w:marTop w:val="0"/>
      <w:marBottom w:val="0"/>
      <w:divBdr>
        <w:top w:val="none" w:sz="0" w:space="0" w:color="auto"/>
        <w:left w:val="none" w:sz="0" w:space="0" w:color="auto"/>
        <w:bottom w:val="none" w:sz="0" w:space="0" w:color="auto"/>
        <w:right w:val="none" w:sz="0" w:space="0" w:color="auto"/>
      </w:divBdr>
    </w:div>
    <w:div w:id="834761089">
      <w:bodyDiv w:val="1"/>
      <w:marLeft w:val="0"/>
      <w:marRight w:val="0"/>
      <w:marTop w:val="0"/>
      <w:marBottom w:val="0"/>
      <w:divBdr>
        <w:top w:val="none" w:sz="0" w:space="0" w:color="auto"/>
        <w:left w:val="none" w:sz="0" w:space="0" w:color="auto"/>
        <w:bottom w:val="none" w:sz="0" w:space="0" w:color="auto"/>
        <w:right w:val="none" w:sz="0" w:space="0" w:color="auto"/>
      </w:divBdr>
      <w:divsChild>
        <w:div w:id="97337922">
          <w:marLeft w:val="0"/>
          <w:marRight w:val="0"/>
          <w:marTop w:val="0"/>
          <w:marBottom w:val="0"/>
          <w:divBdr>
            <w:top w:val="none" w:sz="0" w:space="0" w:color="auto"/>
            <w:left w:val="none" w:sz="0" w:space="0" w:color="auto"/>
            <w:bottom w:val="none" w:sz="0" w:space="0" w:color="auto"/>
            <w:right w:val="none" w:sz="0" w:space="0" w:color="auto"/>
          </w:divBdr>
          <w:divsChild>
            <w:div w:id="1665282425">
              <w:marLeft w:val="0"/>
              <w:marRight w:val="0"/>
              <w:marTop w:val="0"/>
              <w:marBottom w:val="0"/>
              <w:divBdr>
                <w:top w:val="none" w:sz="0" w:space="0" w:color="auto"/>
                <w:left w:val="none" w:sz="0" w:space="0" w:color="auto"/>
                <w:bottom w:val="none" w:sz="0" w:space="0" w:color="auto"/>
                <w:right w:val="none" w:sz="0" w:space="0" w:color="auto"/>
              </w:divBdr>
            </w:div>
          </w:divsChild>
        </w:div>
        <w:div w:id="948396060">
          <w:marLeft w:val="0"/>
          <w:marRight w:val="0"/>
          <w:marTop w:val="0"/>
          <w:marBottom w:val="0"/>
          <w:divBdr>
            <w:top w:val="none" w:sz="0" w:space="0" w:color="auto"/>
            <w:left w:val="none" w:sz="0" w:space="0" w:color="auto"/>
            <w:bottom w:val="none" w:sz="0" w:space="0" w:color="auto"/>
            <w:right w:val="none" w:sz="0" w:space="0" w:color="auto"/>
          </w:divBdr>
          <w:divsChild>
            <w:div w:id="482702285">
              <w:marLeft w:val="0"/>
              <w:marRight w:val="0"/>
              <w:marTop w:val="0"/>
              <w:marBottom w:val="0"/>
              <w:divBdr>
                <w:top w:val="none" w:sz="0" w:space="0" w:color="auto"/>
                <w:left w:val="none" w:sz="0" w:space="0" w:color="auto"/>
                <w:bottom w:val="none" w:sz="0" w:space="0" w:color="auto"/>
                <w:right w:val="none" w:sz="0" w:space="0" w:color="auto"/>
              </w:divBdr>
            </w:div>
          </w:divsChild>
        </w:div>
        <w:div w:id="1163277985">
          <w:marLeft w:val="0"/>
          <w:marRight w:val="0"/>
          <w:marTop w:val="0"/>
          <w:marBottom w:val="0"/>
          <w:divBdr>
            <w:top w:val="none" w:sz="0" w:space="0" w:color="auto"/>
            <w:left w:val="none" w:sz="0" w:space="0" w:color="auto"/>
            <w:bottom w:val="none" w:sz="0" w:space="0" w:color="auto"/>
            <w:right w:val="none" w:sz="0" w:space="0" w:color="auto"/>
          </w:divBdr>
          <w:divsChild>
            <w:div w:id="1205216964">
              <w:marLeft w:val="0"/>
              <w:marRight w:val="0"/>
              <w:marTop w:val="0"/>
              <w:marBottom w:val="0"/>
              <w:divBdr>
                <w:top w:val="none" w:sz="0" w:space="0" w:color="auto"/>
                <w:left w:val="none" w:sz="0" w:space="0" w:color="auto"/>
                <w:bottom w:val="none" w:sz="0" w:space="0" w:color="auto"/>
                <w:right w:val="none" w:sz="0" w:space="0" w:color="auto"/>
              </w:divBdr>
            </w:div>
          </w:divsChild>
        </w:div>
        <w:div w:id="1328632562">
          <w:marLeft w:val="0"/>
          <w:marRight w:val="0"/>
          <w:marTop w:val="0"/>
          <w:marBottom w:val="0"/>
          <w:divBdr>
            <w:top w:val="none" w:sz="0" w:space="0" w:color="auto"/>
            <w:left w:val="none" w:sz="0" w:space="0" w:color="auto"/>
            <w:bottom w:val="none" w:sz="0" w:space="0" w:color="auto"/>
            <w:right w:val="none" w:sz="0" w:space="0" w:color="auto"/>
          </w:divBdr>
          <w:divsChild>
            <w:div w:id="74203423">
              <w:marLeft w:val="0"/>
              <w:marRight w:val="0"/>
              <w:marTop w:val="0"/>
              <w:marBottom w:val="0"/>
              <w:divBdr>
                <w:top w:val="none" w:sz="0" w:space="0" w:color="auto"/>
                <w:left w:val="none" w:sz="0" w:space="0" w:color="auto"/>
                <w:bottom w:val="none" w:sz="0" w:space="0" w:color="auto"/>
                <w:right w:val="none" w:sz="0" w:space="0" w:color="auto"/>
              </w:divBdr>
            </w:div>
          </w:divsChild>
        </w:div>
        <w:div w:id="2076246369">
          <w:marLeft w:val="0"/>
          <w:marRight w:val="0"/>
          <w:marTop w:val="0"/>
          <w:marBottom w:val="0"/>
          <w:divBdr>
            <w:top w:val="none" w:sz="0" w:space="0" w:color="auto"/>
            <w:left w:val="none" w:sz="0" w:space="0" w:color="auto"/>
            <w:bottom w:val="none" w:sz="0" w:space="0" w:color="auto"/>
            <w:right w:val="none" w:sz="0" w:space="0" w:color="auto"/>
          </w:divBdr>
          <w:divsChild>
            <w:div w:id="12843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4438">
      <w:bodyDiv w:val="1"/>
      <w:marLeft w:val="0"/>
      <w:marRight w:val="0"/>
      <w:marTop w:val="0"/>
      <w:marBottom w:val="0"/>
      <w:divBdr>
        <w:top w:val="none" w:sz="0" w:space="0" w:color="auto"/>
        <w:left w:val="none" w:sz="0" w:space="0" w:color="auto"/>
        <w:bottom w:val="none" w:sz="0" w:space="0" w:color="auto"/>
        <w:right w:val="none" w:sz="0" w:space="0" w:color="auto"/>
      </w:divBdr>
    </w:div>
    <w:div w:id="1524397340">
      <w:bodyDiv w:val="1"/>
      <w:marLeft w:val="0"/>
      <w:marRight w:val="0"/>
      <w:marTop w:val="0"/>
      <w:marBottom w:val="0"/>
      <w:divBdr>
        <w:top w:val="none" w:sz="0" w:space="0" w:color="auto"/>
        <w:left w:val="none" w:sz="0" w:space="0" w:color="auto"/>
        <w:bottom w:val="none" w:sz="0" w:space="0" w:color="auto"/>
        <w:right w:val="none" w:sz="0" w:space="0" w:color="auto"/>
      </w:divBdr>
    </w:div>
    <w:div w:id="193667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dni.loni.usc.edu/" TargetMode="External"/><Relationship Id="rId13" Type="http://schemas.openxmlformats.org/officeDocument/2006/relationships/hyperlink" Target="https://doi.org/10.1186/2191-219x-3-43"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doi.org/10.1002/ana.2184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00259-016-3359-8" TargetMode="External"/><Relationship Id="rId5" Type="http://schemas.openxmlformats.org/officeDocument/2006/relationships/webSettings" Target="webSettings.xml"/><Relationship Id="rId15" Type="http://schemas.openxmlformats.org/officeDocument/2006/relationships/hyperlink" Target="https://aojnmb.mums.ac.ir/?_action=article&amp;au=97031&amp;_au=Yoshiyuki++Umezu" TargetMode="External"/><Relationship Id="rId10" Type="http://schemas.openxmlformats.org/officeDocument/2006/relationships/hyperlink" Target="https://doi.org/10.1159/00009331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02/ana.21915" TargetMode="External"/><Relationship Id="rId14" Type="http://schemas.openxmlformats.org/officeDocument/2006/relationships/hyperlink" Target="https://aojnmb.mums.ac.ir/?_action=article&amp;au=48233&amp;_au=Kazuhiko++Himuro"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C55ED-B106-434C-82DD-0F973DFBC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6738</Words>
  <Characters>42453</Characters>
  <Application>Microsoft Office Word</Application>
  <DocSecurity>4</DocSecurity>
  <Lines>353</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Pfeil</dc:creator>
  <cp:keywords/>
  <dc:description/>
  <cp:lastModifiedBy>Sarah Kaiser</cp:lastModifiedBy>
  <cp:revision>2</cp:revision>
  <dcterms:created xsi:type="dcterms:W3CDTF">2022-01-14T09:44:00Z</dcterms:created>
  <dcterms:modified xsi:type="dcterms:W3CDTF">2022-01-14T09:44:00Z</dcterms:modified>
</cp:coreProperties>
</file>